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A1DB5" w14:textId="3742E834" w:rsidR="0029596C" w:rsidRPr="009E6461" w:rsidRDefault="0029596C" w:rsidP="0029596C">
      <w:pPr>
        <w:pStyle w:val="3GPPHeader"/>
        <w:spacing w:after="60"/>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9E6461">
        <w:t>3GPP TSG-RAN WG2 #101Bis</w:t>
      </w:r>
      <w:r w:rsidRPr="009E6461">
        <w:tab/>
        <w:t>R2-</w:t>
      </w:r>
      <w:r w:rsidR="00B90AE9" w:rsidRPr="00B90AE9">
        <w:t>1804792</w:t>
      </w:r>
    </w:p>
    <w:p w14:paraId="79B382A0" w14:textId="029F39D4" w:rsidR="0029596C" w:rsidRPr="0029596C" w:rsidRDefault="0029596C" w:rsidP="0029596C">
      <w:pPr>
        <w:pStyle w:val="3GPPHeader"/>
        <w:spacing w:after="60"/>
        <w:rPr>
          <w:rFonts w:cs="Arial"/>
          <w:noProof/>
          <w:szCs w:val="24"/>
        </w:rPr>
      </w:pPr>
      <w:r w:rsidRPr="009E6461">
        <w:t>Sanya, P.R. of China, 16th – 20th April 2018</w:t>
      </w:r>
      <w:r w:rsidRPr="0031155B">
        <w:rPr>
          <w:rFonts w:cs="Arial"/>
          <w:szCs w:val="24"/>
        </w:rPr>
        <w:tab/>
        <w:t>(</w:t>
      </w:r>
      <w:r>
        <w:rPr>
          <w:rFonts w:cs="Arial"/>
          <w:szCs w:val="24"/>
        </w:rPr>
        <w:t>Revision</w:t>
      </w:r>
      <w:r w:rsidRPr="0031155B">
        <w:rPr>
          <w:rFonts w:cs="Arial"/>
          <w:szCs w:val="24"/>
        </w:rPr>
        <w:t xml:space="preserve"> of </w:t>
      </w:r>
      <w:r w:rsidRPr="0031155B">
        <w:rPr>
          <w:rFonts w:cs="Arial"/>
          <w:szCs w:val="32"/>
        </w:rPr>
        <w:t>R2-</w:t>
      </w:r>
      <w:r w:rsidRPr="0029596C">
        <w:rPr>
          <w:rFonts w:cs="Arial"/>
          <w:szCs w:val="24"/>
        </w:rPr>
        <w:t>1802648</w:t>
      </w:r>
      <w:r w:rsidRPr="0031155B">
        <w:rPr>
          <w:rFonts w:cs="Arial"/>
          <w:szCs w:val="24"/>
        </w:rPr>
        <w:t>)</w:t>
      </w:r>
    </w:p>
    <w:p w14:paraId="5462D952" w14:textId="77777777" w:rsidR="00A24766" w:rsidRDefault="00A24766" w:rsidP="00A24766">
      <w:pPr>
        <w:pStyle w:val="3GPPHeader"/>
      </w:pPr>
      <w:r w:rsidRPr="005B5C83">
        <w:rPr>
          <w:szCs w:val="24"/>
        </w:rPr>
        <w:tab/>
      </w:r>
    </w:p>
    <w:p w14:paraId="6F380883" w14:textId="09151ECB" w:rsidR="00A24766" w:rsidRPr="004634DB" w:rsidRDefault="00A24766" w:rsidP="00A24766">
      <w:pPr>
        <w:pStyle w:val="3GPPHeader"/>
        <w:rPr>
          <w:sz w:val="22"/>
          <w:szCs w:val="22"/>
          <w:lang w:val="en-US"/>
        </w:rPr>
      </w:pPr>
      <w:r w:rsidRPr="004634DB">
        <w:rPr>
          <w:sz w:val="22"/>
          <w:szCs w:val="22"/>
          <w:lang w:val="en-US"/>
        </w:rPr>
        <w:t>Agenda Item:</w:t>
      </w:r>
      <w:r w:rsidRPr="004634DB">
        <w:rPr>
          <w:sz w:val="22"/>
          <w:szCs w:val="22"/>
          <w:lang w:val="en-US"/>
        </w:rPr>
        <w:tab/>
      </w:r>
      <w:r w:rsidR="00B90AE9" w:rsidRPr="004634DB">
        <w:rPr>
          <w:sz w:val="22"/>
          <w:szCs w:val="22"/>
          <w:lang w:val="en-US"/>
        </w:rPr>
        <w:t>10.4.1.5.2</w:t>
      </w:r>
    </w:p>
    <w:p w14:paraId="53AB6EBE" w14:textId="77777777" w:rsidR="00A24766" w:rsidRPr="008C7695" w:rsidRDefault="00A24766" w:rsidP="00A24766">
      <w:pPr>
        <w:pStyle w:val="3GPPHeader"/>
        <w:rPr>
          <w:sz w:val="22"/>
          <w:szCs w:val="22"/>
        </w:rPr>
      </w:pPr>
      <w:r>
        <w:rPr>
          <w:sz w:val="22"/>
          <w:szCs w:val="22"/>
        </w:rPr>
        <w:t>Source:</w:t>
      </w:r>
      <w:r>
        <w:rPr>
          <w:sz w:val="22"/>
          <w:szCs w:val="22"/>
        </w:rPr>
        <w:tab/>
        <w:t>Ericsson</w:t>
      </w:r>
    </w:p>
    <w:p w14:paraId="3B7FBE04" w14:textId="5A5C9D2C" w:rsidR="005B5C83" w:rsidRPr="008B06C8" w:rsidRDefault="005B5C83" w:rsidP="005B5C83">
      <w:pPr>
        <w:pStyle w:val="3GPPHeader"/>
        <w:rPr>
          <w:sz w:val="22"/>
          <w:szCs w:val="22"/>
        </w:rPr>
      </w:pPr>
      <w:r>
        <w:rPr>
          <w:sz w:val="22"/>
          <w:szCs w:val="22"/>
        </w:rPr>
        <w:t>Title:</w:t>
      </w:r>
      <w:r w:rsidRPr="00CE0424">
        <w:rPr>
          <w:sz w:val="22"/>
          <w:szCs w:val="22"/>
        </w:rPr>
        <w:tab/>
      </w:r>
      <w:r w:rsidR="00342304">
        <w:rPr>
          <w:sz w:val="22"/>
          <w:szCs w:val="22"/>
        </w:rPr>
        <w:t>R</w:t>
      </w:r>
      <w:r>
        <w:rPr>
          <w:sz w:val="22"/>
          <w:szCs w:val="22"/>
        </w:rPr>
        <w:t>emaining issues on SCG Failure</w:t>
      </w:r>
      <w:r w:rsidR="005C38E2">
        <w:rPr>
          <w:sz w:val="22"/>
          <w:szCs w:val="22"/>
        </w:rPr>
        <w:t xml:space="preserve"> (TP to 36.331)</w:t>
      </w:r>
    </w:p>
    <w:p w14:paraId="4C1192CA" w14:textId="0A8D1EAF" w:rsidR="004D2903" w:rsidRPr="008C7695" w:rsidRDefault="005B5C83" w:rsidP="004D2903">
      <w:pPr>
        <w:pStyle w:val="3GPPHeader"/>
        <w:rPr>
          <w:sz w:val="22"/>
          <w:szCs w:val="22"/>
        </w:rPr>
      </w:pPr>
      <w:r w:rsidRPr="008C7695">
        <w:rPr>
          <w:sz w:val="22"/>
          <w:szCs w:val="22"/>
        </w:rPr>
        <w:t>Document for:</w:t>
      </w:r>
      <w:r w:rsidRPr="008C7695">
        <w:rPr>
          <w:sz w:val="22"/>
          <w:szCs w:val="22"/>
        </w:rPr>
        <w:tab/>
        <w:t>Discussion, Decision</w:t>
      </w:r>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306E510B" w14:textId="08869147" w:rsidR="004D2903" w:rsidRDefault="004D2903" w:rsidP="004D2903">
      <w:pPr>
        <w:pStyle w:val="BodyText"/>
        <w:keepLines/>
        <w:tabs>
          <w:tab w:val="left" w:pos="2552"/>
          <w:tab w:val="left" w:pos="3856"/>
          <w:tab w:val="left" w:pos="5216"/>
          <w:tab w:val="left" w:pos="6464"/>
          <w:tab w:val="left" w:pos="7768"/>
          <w:tab w:val="left" w:pos="9072"/>
          <w:tab w:val="left" w:pos="9639"/>
        </w:tabs>
        <w:spacing w:before="240"/>
        <w:rPr>
          <w:lang w:val="en-US"/>
        </w:rPr>
      </w:pPr>
      <w:bookmarkStart w:id="7" w:name="_Hlk487455403"/>
      <w:bookmarkStart w:id="8" w:name="_Ref178064866"/>
      <w:r>
        <w:t xml:space="preserve">Regarding SCG RLF, there are still some open issues that need to be resolved, one is from RAN2-NR-AH#2 about UE behaviour in case of SCG failure when SCG is the configured path for SRB transmission </w:t>
      </w:r>
      <w:r w:rsidR="006463E3">
        <w:t>(</w:t>
      </w:r>
      <w:r>
        <w:t>see below</w:t>
      </w:r>
      <w:bookmarkEnd w:id="7"/>
      <w:r w:rsidR="006463E3">
        <w:t>)</w:t>
      </w:r>
      <w:r>
        <w:t>:</w:t>
      </w:r>
    </w:p>
    <w:p w14:paraId="1327D430" w14:textId="77777777" w:rsidR="004D2903" w:rsidRPr="001C1C4C" w:rsidRDefault="004D2903" w:rsidP="004D2903">
      <w:pPr>
        <w:pStyle w:val="Doc-text2"/>
        <w:rPr>
          <w:lang w:val="en-US"/>
        </w:rPr>
      </w:pPr>
    </w:p>
    <w:p w14:paraId="7A0400F6"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21332C">
        <w:t>Agreements</w:t>
      </w:r>
      <w:r w:rsidRPr="0021332C">
        <w:rPr>
          <w:lang w:val="en-US"/>
        </w:rPr>
        <w:t>:</w:t>
      </w:r>
      <w:r w:rsidRPr="001C1C4C">
        <w:t xml:space="preserve"> </w:t>
      </w:r>
    </w:p>
    <w:p w14:paraId="06A5E12B"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24BBF59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1: MN determines to use MCG duplication SRB and configures MCG duplication SRB by MN RRC signalling. </w:t>
      </w:r>
    </w:p>
    <w:p w14:paraId="59C90921"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070131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2: For all DC cases (all MR-DC and NR-NR DC cases) for 'duplication SRB', UL packet transmission is configured by RRC to use MCG path, SCG path or duplicate on both MCG and SCG. </w:t>
      </w:r>
    </w:p>
    <w:p w14:paraId="3698A2C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8AAB00D"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D8313E">
        <w:rPr>
          <w:lang w:val="en-US"/>
        </w:rPr>
        <w:t xml:space="preserve">FFS Duplication on SRB for CA cases </w:t>
      </w:r>
    </w:p>
    <w:p w14:paraId="673095D2"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6463E3">
        <w:rPr>
          <w:lang w:val="en-US"/>
        </w:rPr>
        <w:t>FFS Behaviour in the case of SCG failure when SCG is the configured path.</w:t>
      </w:r>
    </w:p>
    <w:p w14:paraId="4DF094D8" w14:textId="77777777" w:rsidR="004D2903" w:rsidRDefault="004D2903" w:rsidP="004D2903">
      <w:pPr>
        <w:pStyle w:val="Doc-text2"/>
        <w:tabs>
          <w:tab w:val="clear" w:pos="1622"/>
        </w:tabs>
        <w:ind w:left="0" w:firstLine="0"/>
        <w:rPr>
          <w:lang w:val="en-US"/>
        </w:rPr>
      </w:pPr>
    </w:p>
    <w:p w14:paraId="1FD418A6" w14:textId="28359909" w:rsidR="004D2903" w:rsidRDefault="004D2903" w:rsidP="004D2903">
      <w:pPr>
        <w:pStyle w:val="Doc-text2"/>
        <w:tabs>
          <w:tab w:val="clear" w:pos="1622"/>
        </w:tabs>
        <w:ind w:left="488" w:hanging="488"/>
        <w:rPr>
          <w:lang w:val="en-US"/>
        </w:rPr>
      </w:pPr>
      <w:r>
        <w:rPr>
          <w:lang w:val="en-US"/>
        </w:rPr>
        <w:t>This</w:t>
      </w:r>
      <w:r w:rsidR="0023706C">
        <w:rPr>
          <w:lang w:val="en-US"/>
        </w:rPr>
        <w:t xml:space="preserve"> contribution will address</w:t>
      </w:r>
      <w:r>
        <w:rPr>
          <w:lang w:val="en-US"/>
        </w:rPr>
        <w:t xml:space="preserve"> </w:t>
      </w:r>
      <w:r w:rsidR="0023706C">
        <w:rPr>
          <w:lang w:val="en-US"/>
        </w:rPr>
        <w:t xml:space="preserve">the </w:t>
      </w:r>
      <w:r>
        <w:rPr>
          <w:lang w:val="en-US"/>
        </w:rPr>
        <w:t>remaining open issue</w:t>
      </w:r>
      <w:r w:rsidR="0023706C">
        <w:rPr>
          <w:lang w:val="en-US"/>
        </w:rPr>
        <w:t xml:space="preserve"> above</w:t>
      </w:r>
      <w:r>
        <w:rPr>
          <w:lang w:val="en-US"/>
        </w:rPr>
        <w:t xml:space="preserve"> regarding</w:t>
      </w:r>
      <w:r w:rsidR="0023706C">
        <w:rPr>
          <w:lang w:val="en-US"/>
        </w:rPr>
        <w:t xml:space="preserve"> the</w:t>
      </w:r>
      <w:r>
        <w:rPr>
          <w:lang w:val="en-US"/>
        </w:rPr>
        <w:t xml:space="preserve"> SCG failure. </w:t>
      </w:r>
    </w:p>
    <w:bookmarkEnd w:id="8"/>
    <w:p w14:paraId="0A7CBFD1" w14:textId="6520BAFB" w:rsidR="004D2903" w:rsidRPr="006463E3" w:rsidRDefault="004D2903" w:rsidP="006463E3">
      <w:pPr>
        <w:pStyle w:val="Heading1"/>
        <w:rPr>
          <w:lang w:val="en-US"/>
        </w:rPr>
      </w:pPr>
      <w:r w:rsidRPr="00406BCB">
        <w:rPr>
          <w:lang w:val="en-US"/>
        </w:rPr>
        <w:t>Discussion</w:t>
      </w:r>
    </w:p>
    <w:p w14:paraId="6ED77BCE" w14:textId="51ACE90E" w:rsidR="004D2903" w:rsidRPr="00A84ECB" w:rsidDel="00E66FAA" w:rsidRDefault="004D2903" w:rsidP="004D2903">
      <w:r>
        <w:t xml:space="preserve">In LTE, when a Radio Link Failure (RLF) is detected on the MCG, </w:t>
      </w:r>
      <w:r w:rsidRPr="00A84ECB">
        <w:t xml:space="preserve">RRC </w:t>
      </w:r>
      <w:r>
        <w:t>c</w:t>
      </w:r>
      <w:r w:rsidRPr="00A84ECB">
        <w:t xml:space="preserve">onnection </w:t>
      </w:r>
      <w:r>
        <w:t>r</w:t>
      </w:r>
      <w:r w:rsidRPr="00A84ECB">
        <w:t>eestablishment</w:t>
      </w:r>
      <w:r>
        <w:t xml:space="preserve"> procedure is triggered, suspending the </w:t>
      </w:r>
      <w:r w:rsidRPr="00A84ECB">
        <w:t xml:space="preserve">ongoing </w:t>
      </w:r>
      <w:r>
        <w:t>communication until</w:t>
      </w:r>
      <w:r w:rsidRPr="00A84ECB">
        <w:t xml:space="preserve"> the UE re-synchronize</w:t>
      </w:r>
      <w:r>
        <w:t>s</w:t>
      </w:r>
      <w:r w:rsidRPr="00A84ECB">
        <w:t xml:space="preserve"> with the network. On the other hand, if the UE experiences </w:t>
      </w:r>
      <w:r>
        <w:t>a failure</w:t>
      </w:r>
      <w:r w:rsidRPr="00A84ECB">
        <w:t xml:space="preserve"> on the SCG, the</w:t>
      </w:r>
      <w:r>
        <w:t>n the</w:t>
      </w:r>
      <w:r w:rsidRPr="00A84ECB">
        <w:t xml:space="preserve"> UE </w:t>
      </w:r>
      <w:r>
        <w:t>does not have to</w:t>
      </w:r>
      <w:r w:rsidRPr="00A84ECB">
        <w:t xml:space="preserve"> initiate a</w:t>
      </w:r>
      <w:r>
        <w:t>n</w:t>
      </w:r>
      <w:r w:rsidRPr="00A84ECB">
        <w:t xml:space="preserve"> RRC connection reestablishment </w:t>
      </w:r>
      <w:r>
        <w:t xml:space="preserve">procedure </w:t>
      </w:r>
      <w:r w:rsidRPr="00A84ECB">
        <w:t xml:space="preserve">but instead </w:t>
      </w:r>
      <w:r>
        <w:t>it sends</w:t>
      </w:r>
      <w:r w:rsidRPr="00A84ECB">
        <w:t xml:space="preserve"> </w:t>
      </w:r>
      <w:r w:rsidRPr="00A54D3F">
        <w:t>SCGFailureInformation</w:t>
      </w:r>
      <w:r w:rsidRPr="00A84ECB">
        <w:t xml:space="preserve"> </w:t>
      </w:r>
      <w:r>
        <w:t>via MCG SRB</w:t>
      </w:r>
      <w:r w:rsidRPr="00A84ECB">
        <w:t xml:space="preserve">. </w:t>
      </w:r>
      <w:r>
        <w:t xml:space="preserve">Upon receiving </w:t>
      </w:r>
      <w:r w:rsidRPr="00A54D3F">
        <w:t>SCGFailureInformation</w:t>
      </w:r>
      <w:r>
        <w:t xml:space="preserve">, </w:t>
      </w:r>
      <w:r w:rsidRPr="00A84ECB">
        <w:t>MN can then decide to initiate a</w:t>
      </w:r>
      <w:r>
        <w:t xml:space="preserve">n </w:t>
      </w:r>
      <w:r w:rsidRPr="00A54D3F">
        <w:t>S</w:t>
      </w:r>
      <w:r>
        <w:t>N</w:t>
      </w:r>
      <w:r w:rsidRPr="00A54D3F">
        <w:t xml:space="preserve"> release</w:t>
      </w:r>
      <w:r w:rsidRPr="00A84ECB">
        <w:t xml:space="preserve"> </w:t>
      </w:r>
      <w:r>
        <w:t>(and</w:t>
      </w:r>
      <w:r w:rsidRPr="00A84ECB">
        <w:t xml:space="preserve"> </w:t>
      </w:r>
      <w:r>
        <w:t>optionally, change the SCG to an SN with a better radio conditions)</w:t>
      </w:r>
      <w:r w:rsidRPr="00A84ECB">
        <w:t xml:space="preserve">. </w:t>
      </w:r>
      <w:r>
        <w:t>In this case, a</w:t>
      </w:r>
      <w:r w:rsidRPr="00A84ECB">
        <w:t xml:space="preserve">s the MCG </w:t>
      </w:r>
      <w:r>
        <w:t>radio link</w:t>
      </w:r>
      <w:r w:rsidRPr="00A84ECB">
        <w:t xml:space="preserve"> is </w:t>
      </w:r>
      <w:r>
        <w:t>available and the traffic can be rerouted via MCG,</w:t>
      </w:r>
      <w:r w:rsidRPr="00A84ECB">
        <w:t xml:space="preserve"> UE does</w:t>
      </w:r>
      <w:r>
        <w:t xml:space="preserve"> not</w:t>
      </w:r>
      <w:r w:rsidRPr="00A84ECB">
        <w:t xml:space="preserve"> experience </w:t>
      </w:r>
      <w:r>
        <w:t>a notable</w:t>
      </w:r>
      <w:r w:rsidRPr="00A84ECB">
        <w:t xml:space="preserve"> service interruption</w:t>
      </w:r>
      <w:r>
        <w:t xml:space="preserve"> as in MCG RLF</w:t>
      </w:r>
      <w:r w:rsidRPr="00A84ECB">
        <w:t>.</w:t>
      </w:r>
      <w:r>
        <w:t xml:space="preserve"> </w:t>
      </w:r>
    </w:p>
    <w:p w14:paraId="5BB58798" w14:textId="6AB23664" w:rsidR="004D2903" w:rsidRDefault="004D2903" w:rsidP="004D2903">
      <w:r>
        <w:t xml:space="preserve">In NR, the actions triggered upon an RLF are mainly based on the existing LTE procedures. Accordingly, in </w:t>
      </w:r>
      <w:r w:rsidRPr="00583BD9">
        <w:t>RAN2#97</w:t>
      </w:r>
      <w:r>
        <w:t xml:space="preserve">bis meeting, it was agreed that if an RLF is detected on the MCG (i.e., MCG RLF), the UE initiates the RRC connection re-establishment procedure. It was also agreed that when an RLF is detected on the SCG (i.e., SCG RLF), UE suspends </w:t>
      </w:r>
      <w:r w:rsidRPr="00017CA5">
        <w:t xml:space="preserve">all SCG </w:t>
      </w:r>
      <w:r>
        <w:t>SRBs/</w:t>
      </w:r>
      <w:r w:rsidRPr="00017CA5">
        <w:t xml:space="preserve">DRBs </w:t>
      </w:r>
      <w:r>
        <w:t>as well as</w:t>
      </w:r>
      <w:r w:rsidRPr="00017CA5">
        <w:t xml:space="preserve"> SCG transmission for MCG split </w:t>
      </w:r>
      <w:r>
        <w:t>SRBs/</w:t>
      </w:r>
      <w:r w:rsidRPr="00017CA5">
        <w:t>DRBs</w:t>
      </w:r>
      <w:r>
        <w:t xml:space="preserve"> / </w:t>
      </w:r>
      <w:r w:rsidRPr="00017CA5">
        <w:t>SCG split DRBs</w:t>
      </w:r>
      <w:r>
        <w:t>. In this case, instead of directly triggering the RRC re-establishment procedu</w:t>
      </w:r>
      <w:r w:rsidR="006463E3">
        <w:t xml:space="preserve">re, UE indicates to the MN an SCG </w:t>
      </w:r>
      <w:r>
        <w:t xml:space="preserve">RLF has occurred with an SCGFailureInformation via the MCG path of MCG Split SRB or MCG SRB. </w:t>
      </w:r>
      <w:r w:rsidRPr="00A84ECB">
        <w:t xml:space="preserve">However, </w:t>
      </w:r>
      <w:bookmarkStart w:id="9" w:name="_Hlk487803816"/>
      <w:r w:rsidRPr="00A84ECB">
        <w:t xml:space="preserve">if </w:t>
      </w:r>
      <w:r>
        <w:t>an</w:t>
      </w:r>
      <w:r w:rsidRPr="00A84ECB">
        <w:t xml:space="preserve"> MCG split </w:t>
      </w:r>
      <w:r>
        <w:t xml:space="preserve">SRB1 </w:t>
      </w:r>
      <w:r w:rsidRPr="00A84ECB">
        <w:t xml:space="preserve">is </w:t>
      </w:r>
      <w:r>
        <w:t>configured</w:t>
      </w:r>
      <w:r w:rsidRPr="00A84ECB">
        <w:t xml:space="preserve"> and the SCG</w:t>
      </w:r>
      <w:r w:rsidR="00712900">
        <w:t xml:space="preserve"> i.e., SRB1S,</w:t>
      </w:r>
      <w:r w:rsidRPr="00A84ECB">
        <w:t xml:space="preserve"> is the </w:t>
      </w:r>
      <w:r>
        <w:t xml:space="preserve">only </w:t>
      </w:r>
      <w:r w:rsidRPr="00A84ECB">
        <w:t>configured path</w:t>
      </w:r>
      <w:r>
        <w:t>, upon the detection of an</w:t>
      </w:r>
      <w:r w:rsidRPr="00A84ECB">
        <w:t xml:space="preserve"> SCG failure</w:t>
      </w:r>
      <w:r>
        <w:t xml:space="preserve"> it is not clear how</w:t>
      </w:r>
      <w:r w:rsidRPr="00A84ECB">
        <w:t xml:space="preserve"> the UE </w:t>
      </w:r>
      <w:r>
        <w:t>can</w:t>
      </w:r>
      <w:r w:rsidRPr="00A84ECB">
        <w:t xml:space="preserve"> notify the MN with SCGFailureInformation.</w:t>
      </w:r>
      <w:bookmarkEnd w:id="9"/>
      <w:r w:rsidRPr="00A84ECB">
        <w:t xml:space="preserve"> </w:t>
      </w:r>
      <w:r>
        <w:t>As illustrated in Figure 1, this observation is valid independent from whet</w:t>
      </w:r>
      <w:r w:rsidR="006463E3">
        <w:t xml:space="preserve">her there is a </w:t>
      </w:r>
      <w:r>
        <w:t xml:space="preserve">direct </w:t>
      </w:r>
      <w:r w:rsidR="006463E3">
        <w:t xml:space="preserve">SCG </w:t>
      </w:r>
      <w:r>
        <w:t xml:space="preserve">SRB </w:t>
      </w:r>
      <w:r w:rsidR="006463E3">
        <w:t xml:space="preserve">i.e., </w:t>
      </w:r>
      <w:r>
        <w:t>SRB3</w:t>
      </w:r>
      <w:r w:rsidR="00712900">
        <w:t>,</w:t>
      </w:r>
      <w:r>
        <w:t xml:space="preserve"> configured or not.  </w:t>
      </w:r>
    </w:p>
    <w:p w14:paraId="5E1FB280" w14:textId="1F0ED877" w:rsidR="004D2903" w:rsidRDefault="004D2903" w:rsidP="004D2903">
      <w:pPr>
        <w:pStyle w:val="Observation"/>
      </w:pPr>
      <w:bookmarkStart w:id="10" w:name="_Toc490153343"/>
      <w:bookmarkStart w:id="11" w:name="_Toc490153357"/>
      <w:bookmarkStart w:id="12" w:name="_Toc490253457"/>
      <w:bookmarkStart w:id="13" w:name="_Toc494382980"/>
      <w:r>
        <w:t>I</w:t>
      </w:r>
      <w:r w:rsidRPr="00A84ECB">
        <w:t xml:space="preserve">f </w:t>
      </w:r>
      <w:r>
        <w:t>an</w:t>
      </w:r>
      <w:r w:rsidRPr="00A84ECB">
        <w:t xml:space="preserve"> MCG split </w:t>
      </w:r>
      <w:r>
        <w:t xml:space="preserve">SRB1 </w:t>
      </w:r>
      <w:r w:rsidRPr="00A84ECB">
        <w:t xml:space="preserve">is </w:t>
      </w:r>
      <w:r>
        <w:t>configured</w:t>
      </w:r>
      <w:r w:rsidRPr="00A84ECB">
        <w:t xml:space="preserve"> and the SCG </w:t>
      </w:r>
      <w:r w:rsidR="00712900">
        <w:t xml:space="preserve">i.e., SRB1S, </w:t>
      </w:r>
      <w:r w:rsidRPr="00A84ECB">
        <w:t xml:space="preserve">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t xml:space="preserve"> message to the MN.</w:t>
      </w:r>
      <w:bookmarkEnd w:id="10"/>
      <w:bookmarkEnd w:id="11"/>
      <w:bookmarkEnd w:id="12"/>
      <w:bookmarkEnd w:id="13"/>
    </w:p>
    <w:p w14:paraId="010FC201" w14:textId="77777777" w:rsidR="004D2903" w:rsidRDefault="004D2903" w:rsidP="004D2903">
      <w:pPr>
        <w:pStyle w:val="Observation"/>
        <w:numPr>
          <w:ilvl w:val="0"/>
          <w:numId w:val="0"/>
        </w:numPr>
      </w:pPr>
    </w:p>
    <w:tbl>
      <w:tblPr>
        <w:tblStyle w:val="TableGrid"/>
        <w:tblW w:w="9634" w:type="dxa"/>
        <w:tblInd w:w="0" w:type="dxa"/>
        <w:tblLook w:val="04A0" w:firstRow="1" w:lastRow="0" w:firstColumn="1" w:lastColumn="0" w:noHBand="0" w:noVBand="1"/>
      </w:tblPr>
      <w:tblGrid>
        <w:gridCol w:w="4972"/>
        <w:gridCol w:w="4819"/>
      </w:tblGrid>
      <w:tr w:rsidR="004D2903" w14:paraId="318FDC44" w14:textId="77777777" w:rsidTr="00A01D6C">
        <w:tc>
          <w:tcPr>
            <w:tcW w:w="4248" w:type="dxa"/>
            <w:tcBorders>
              <w:top w:val="single" w:sz="4" w:space="0" w:color="auto"/>
              <w:left w:val="single" w:sz="4" w:space="0" w:color="auto"/>
              <w:bottom w:val="single" w:sz="4" w:space="0" w:color="auto"/>
              <w:right w:val="single" w:sz="4" w:space="0" w:color="auto"/>
            </w:tcBorders>
            <w:hideMark/>
          </w:tcPr>
          <w:p w14:paraId="54924A3F" w14:textId="77777777" w:rsidR="004D2903" w:rsidRDefault="004D2903" w:rsidP="00A01D6C">
            <w:pPr>
              <w:pStyle w:val="BodyText"/>
              <w:jc w:val="center"/>
            </w:pPr>
            <w:r>
              <w:object w:dxaOrig="6120" w:dyaOrig="4995" w14:anchorId="6021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14" o:title=""/>
                </v:shape>
                <o:OLEObject Type="Embed" ProgID="Visio.Drawing.15" ShapeID="_x0000_i1025" DrawAspect="Content" ObjectID="_1584478756" r:id="rId15"/>
              </w:object>
            </w:r>
          </w:p>
          <w:p w14:paraId="0B374156" w14:textId="1D4615B1" w:rsidR="004D2903" w:rsidRDefault="004D2903" w:rsidP="00A01D6C">
            <w:pPr>
              <w:pStyle w:val="BodyText"/>
              <w:numPr>
                <w:ilvl w:val="0"/>
                <w:numId w:val="34"/>
              </w:numPr>
              <w:jc w:val="center"/>
            </w:pPr>
            <w:r>
              <w:t>MCG Split SRB configured and SCG path</w:t>
            </w:r>
            <w:r w:rsidR="00712900">
              <w:t xml:space="preserve"> (SRB1S)</w:t>
            </w:r>
            <w:r>
              <w:t xml:space="preserve"> activated</w:t>
            </w:r>
          </w:p>
        </w:tc>
        <w:tc>
          <w:tcPr>
            <w:tcW w:w="5386" w:type="dxa"/>
            <w:tcBorders>
              <w:top w:val="single" w:sz="4" w:space="0" w:color="auto"/>
              <w:left w:val="single" w:sz="4" w:space="0" w:color="auto"/>
              <w:bottom w:val="single" w:sz="4" w:space="0" w:color="auto"/>
              <w:right w:val="single" w:sz="4" w:space="0" w:color="auto"/>
            </w:tcBorders>
            <w:hideMark/>
          </w:tcPr>
          <w:p w14:paraId="61D23524" w14:textId="77777777" w:rsidR="004D2903" w:rsidRDefault="004D2903" w:rsidP="00A01D6C">
            <w:pPr>
              <w:pStyle w:val="BodyText"/>
              <w:jc w:val="center"/>
            </w:pPr>
            <w:r>
              <w:object w:dxaOrig="6120" w:dyaOrig="4995" w14:anchorId="7257508C">
                <v:shape id="_x0000_i1026" type="#_x0000_t75" style="width:230.25pt;height:188.25pt" o:ole="">
                  <v:imagedata r:id="rId16" o:title=""/>
                </v:shape>
                <o:OLEObject Type="Embed" ProgID="Visio.Drawing.15" ShapeID="_x0000_i1026" DrawAspect="Content" ObjectID="_1584478757" r:id="rId17"/>
              </w:object>
            </w:r>
          </w:p>
          <w:p w14:paraId="584D890F" w14:textId="2D91BA8F" w:rsidR="004D2903" w:rsidRDefault="004D2903" w:rsidP="00A01D6C">
            <w:pPr>
              <w:pStyle w:val="BodyText"/>
              <w:numPr>
                <w:ilvl w:val="0"/>
                <w:numId w:val="34"/>
              </w:numPr>
              <w:jc w:val="center"/>
            </w:pPr>
            <w:r>
              <w:t>MCG Split SRB configured and S</w:t>
            </w:r>
            <w:r w:rsidR="00712900">
              <w:t>CG path (SRB1S) activated as well as</w:t>
            </w:r>
            <w:r>
              <w:t xml:space="preserve"> </w:t>
            </w:r>
            <w:r w:rsidR="00712900">
              <w:t>direct SCG SRB (SRB3)</w:t>
            </w:r>
            <w:r>
              <w:t xml:space="preserve"> configured</w:t>
            </w:r>
          </w:p>
        </w:tc>
      </w:tr>
    </w:tbl>
    <w:p w14:paraId="7701F20B" w14:textId="0CA319B5" w:rsidR="004D2903" w:rsidRDefault="004D2903" w:rsidP="004D2903">
      <w:pPr>
        <w:pStyle w:val="BodyText"/>
        <w:jc w:val="center"/>
      </w:pPr>
      <w:r w:rsidRPr="002A42AC">
        <w:rPr>
          <w:b/>
        </w:rPr>
        <w:t>Figure 1:</w:t>
      </w:r>
      <w:r>
        <w:t xml:space="preserve"> Illustration of the CP scenarios where an </w:t>
      </w:r>
      <w:r w:rsidRPr="00A84ECB">
        <w:t xml:space="preserve">MCG split </w:t>
      </w:r>
      <w:r>
        <w:t xml:space="preserve">SRB1 </w:t>
      </w:r>
      <w:r w:rsidRPr="00A84ECB">
        <w:t xml:space="preserve">is </w:t>
      </w:r>
      <w:r>
        <w:t>configured</w:t>
      </w:r>
      <w:r w:rsidRPr="00A84ECB">
        <w:t xml:space="preserve"> and the SCG</w:t>
      </w:r>
      <w:r w:rsidR="00712900">
        <w:t xml:space="preserve"> (SRB1S)</w:t>
      </w:r>
      <w:r w:rsidRPr="00A84ECB">
        <w:t xml:space="preserve"> is the </w:t>
      </w:r>
      <w:r>
        <w:t xml:space="preserve">only </w:t>
      </w:r>
      <w:r w:rsidRPr="00A84ECB">
        <w:t>configured path</w:t>
      </w:r>
      <w:r>
        <w:t>. Configured CP paths for SRB1 and SRB3 are illustrated in red.</w:t>
      </w:r>
    </w:p>
    <w:p w14:paraId="20AF8BEE" w14:textId="77777777" w:rsidR="004D2903" w:rsidRDefault="004D2903" w:rsidP="004D2903">
      <w:pPr>
        <w:pStyle w:val="BodyText"/>
        <w:jc w:val="center"/>
      </w:pPr>
    </w:p>
    <w:p w14:paraId="248797E4" w14:textId="55EFFF65" w:rsidR="004D2903" w:rsidRPr="00A84ECB" w:rsidRDefault="004D2903" w:rsidP="004D2903">
      <w:pPr>
        <w:pStyle w:val="BodyText"/>
      </w:pPr>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00712900">
        <w:t xml:space="preserve"> (SRB1S)</w:t>
      </w:r>
      <w:r w:rsidRPr="00A84ECB">
        <w:t xml:space="preserve"> is the </w:t>
      </w:r>
      <w:r>
        <w:t xml:space="preserve">only </w:t>
      </w:r>
      <w:r w:rsidRPr="00A84ECB">
        <w:t>configured path</w:t>
      </w:r>
      <w:r>
        <w:t xml:space="preserve"> for that SRB, after a</w:t>
      </w:r>
      <w:r w:rsidRPr="00E27B3A">
        <w:t xml:space="preserve"> UE </w:t>
      </w:r>
      <w:r>
        <w:t xml:space="preserve">has </w:t>
      </w:r>
      <w:r w:rsidRPr="00E27B3A">
        <w:t xml:space="preserve">experienced an RLF </w:t>
      </w:r>
      <w:r>
        <w:t>on</w:t>
      </w:r>
      <w:r w:rsidRPr="00E27B3A">
        <w:t xml:space="preserve"> the SCG, </w:t>
      </w:r>
      <w:r>
        <w:t xml:space="preserve">UE may simply initiate the RRC connection re-establishment procedure </w:t>
      </w:r>
      <w:r w:rsidRPr="00A84ECB">
        <w:t>to restore the connectivity</w:t>
      </w:r>
      <w:r>
        <w:t>. However, this would cause a significant service interruption time, especially if there are other active bearers that are configured to use the MCG path (e.g.</w:t>
      </w:r>
      <w:r w:rsidR="00712900">
        <w:t>,</w:t>
      </w:r>
      <w:r>
        <w:t xml:space="preserve"> VoLTE bearers) when the SCG failure is detected. Doing re-establishment will not only cause service interruption for such bearers, but it is also rather unnecessary to begin with, as the MCG could be experiencing good (radio) conditions at that time. Thus, a p</w:t>
      </w:r>
      <w:r w:rsidR="00712900">
        <w:t xml:space="preserve">referred alternative for </w:t>
      </w:r>
      <w:r>
        <w:t xml:space="preserve">UE </w:t>
      </w:r>
      <w:r w:rsidR="00712900">
        <w:t xml:space="preserve">is </w:t>
      </w:r>
      <w:r>
        <w:t xml:space="preserve">to switch the path referred to MCG Split SRB1 over the MCG and notify the network with SCGFailureInformation. When sending the SCGFailureInformation, if no scheduling grant is available on the MCG, then the UE shall send a scheduling request to the MN. </w:t>
      </w:r>
    </w:p>
    <w:p w14:paraId="00DADCD3" w14:textId="77777777" w:rsidR="004D2903" w:rsidRPr="00D42FA3" w:rsidRDefault="004D2903" w:rsidP="004D2903">
      <w:pPr>
        <w:pStyle w:val="Observation"/>
        <w:rPr>
          <w:rStyle w:val="IvDbodytextChar"/>
          <w:spacing w:val="0"/>
          <w:lang w:val="en-GB" w:eastAsia="zh-CN"/>
        </w:rPr>
      </w:pPr>
      <w:bookmarkStart w:id="14" w:name="_Toc490153344"/>
      <w:bookmarkStart w:id="15" w:name="_Toc490153358"/>
      <w:bookmarkStart w:id="16" w:name="_Toc490253458"/>
      <w:bookmarkStart w:id="17" w:name="_Toc494382981"/>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Pr="00A84ECB">
        <w:t xml:space="preserve"> is the </w:t>
      </w:r>
      <w:r>
        <w:t xml:space="preserve">only </w:t>
      </w:r>
      <w:r w:rsidRPr="00A84ECB">
        <w:t>configured path</w:t>
      </w:r>
      <w:r>
        <w:t xml:space="preserve"> for that SRB, after a</w:t>
      </w:r>
      <w:r w:rsidRPr="00E27B3A">
        <w:t xml:space="preserve"> UE </w:t>
      </w:r>
      <w:r>
        <w:t>has experienced a failure</w:t>
      </w:r>
      <w:r w:rsidRPr="00E27B3A">
        <w:t xml:space="preserve"> </w:t>
      </w:r>
      <w:r>
        <w:t>on</w:t>
      </w:r>
      <w:r w:rsidRPr="00E27B3A">
        <w:t xml:space="preserve"> the SCG, </w:t>
      </w:r>
      <w:r>
        <w:t xml:space="preserve">the UE could initiate an RRC connection re-establishment procedure </w:t>
      </w:r>
      <w:r w:rsidRPr="00A84ECB">
        <w:t>to restore the connectivity</w:t>
      </w:r>
      <w:r>
        <w:t>. However, this would result in a significant service interruption time</w:t>
      </w:r>
      <w:r w:rsidRPr="00D42FA3">
        <w:rPr>
          <w:rStyle w:val="IvDbodytextChar"/>
          <w:spacing w:val="0"/>
          <w:lang w:val="en-GB" w:eastAsia="zh-CN"/>
        </w:rPr>
        <w:t>.</w:t>
      </w:r>
      <w:bookmarkEnd w:id="14"/>
      <w:bookmarkEnd w:id="15"/>
      <w:bookmarkEnd w:id="16"/>
      <w:bookmarkEnd w:id="17"/>
      <w:r w:rsidRPr="00D42FA3">
        <w:rPr>
          <w:rStyle w:val="IvDbodytextChar"/>
          <w:spacing w:val="0"/>
          <w:lang w:val="en-GB" w:eastAsia="zh-CN"/>
        </w:rPr>
        <w:t xml:space="preserve">  </w:t>
      </w:r>
    </w:p>
    <w:p w14:paraId="555A508A" w14:textId="3C3FC19F" w:rsidR="00342304" w:rsidRDefault="004D2903" w:rsidP="00712900">
      <w:pPr>
        <w:pStyle w:val="Proposal"/>
      </w:pPr>
      <w:bookmarkStart w:id="18" w:name="_Toc490153345"/>
      <w:bookmarkStart w:id="19" w:name="_Toc490153359"/>
      <w:bookmarkStart w:id="20" w:name="_Toc490253459"/>
      <w:bookmarkStart w:id="21" w:name="_Toc494382585"/>
      <w:bookmarkStart w:id="22" w:name="_Toc494382711"/>
      <w:bookmarkStart w:id="23" w:name="_Toc494382983"/>
      <w:bookmarkStart w:id="24" w:name="_Toc503478997"/>
      <w:bookmarkStart w:id="25" w:name="_Toc503481148"/>
      <w:bookmarkStart w:id="26" w:name="_Toc493754290"/>
      <w:bookmarkStart w:id="27" w:name="_Toc503355230"/>
      <w:r w:rsidDel="00335A52">
        <w:t xml:space="preserve">Upon detecting an SCG failure, a </w:t>
      </w:r>
      <w:r w:rsidRPr="00242CE3" w:rsidDel="00335A52">
        <w:t xml:space="preserve">UE </w:t>
      </w:r>
      <w:r w:rsidDel="00335A52">
        <w:t>that is</w:t>
      </w:r>
      <w:r w:rsidRPr="00242CE3" w:rsidDel="00335A52">
        <w:t xml:space="preserve"> configured with </w:t>
      </w:r>
      <w:r w:rsidR="003305E8">
        <w:t>SCG as the only path for split SRB1</w:t>
      </w:r>
      <w:r w:rsidDel="00335A52">
        <w:t xml:space="preserve">, </w:t>
      </w:r>
      <w:r w:rsidRPr="00242CE3" w:rsidDel="00335A52">
        <w:t xml:space="preserve">switches </w:t>
      </w:r>
      <w:r w:rsidDel="00335A52">
        <w:t xml:space="preserve">the 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Del="00335A52">
        <w:t xml:space="preserve"> message to the MN</w:t>
      </w:r>
      <w:r w:rsidRPr="00242CE3">
        <w:t>.</w:t>
      </w:r>
      <w:bookmarkEnd w:id="18"/>
      <w:bookmarkEnd w:id="19"/>
      <w:bookmarkEnd w:id="20"/>
      <w:bookmarkEnd w:id="21"/>
      <w:bookmarkEnd w:id="22"/>
      <w:bookmarkEnd w:id="23"/>
      <w:bookmarkEnd w:id="24"/>
      <w:bookmarkEnd w:id="25"/>
      <w:r>
        <w:t xml:space="preserve"> </w:t>
      </w:r>
      <w:bookmarkEnd w:id="26"/>
    </w:p>
    <w:p w14:paraId="74F3C7E7" w14:textId="3CC6518E" w:rsidR="00F755E1" w:rsidRPr="00F755E1" w:rsidRDefault="00F755E1" w:rsidP="00F755E1">
      <w:pPr>
        <w:pStyle w:val="Proposal"/>
        <w:numPr>
          <w:ilvl w:val="0"/>
          <w:numId w:val="0"/>
        </w:numPr>
        <w:rPr>
          <w:b w:val="0"/>
        </w:rPr>
      </w:pPr>
      <w:bookmarkStart w:id="28" w:name="_Toc503481149"/>
      <w:r>
        <w:rPr>
          <w:b w:val="0"/>
        </w:rPr>
        <w:t xml:space="preserve">A corresponding </w:t>
      </w:r>
      <w:r w:rsidR="004634DB">
        <w:rPr>
          <w:b w:val="0"/>
        </w:rPr>
        <w:t>TP</w:t>
      </w:r>
      <w:bookmarkStart w:id="29" w:name="_GoBack"/>
      <w:bookmarkEnd w:id="29"/>
      <w:r>
        <w:rPr>
          <w:b w:val="0"/>
        </w:rPr>
        <w:t xml:space="preserve"> is provided in </w:t>
      </w:r>
      <w:bookmarkEnd w:id="28"/>
      <w:r w:rsidR="005C38E2">
        <w:rPr>
          <w:b w:val="0"/>
        </w:rPr>
        <w:t>Section 4.</w:t>
      </w:r>
    </w:p>
    <w:p w14:paraId="3092A2FE" w14:textId="77777777" w:rsidR="004D2903" w:rsidRPr="008E7A7B" w:rsidRDefault="004D2903" w:rsidP="004D2903">
      <w:pPr>
        <w:pStyle w:val="Heading1"/>
        <w:rPr>
          <w:lang w:val="en-US"/>
        </w:rPr>
      </w:pPr>
      <w:bookmarkStart w:id="30" w:name="_Toc461458331"/>
      <w:bookmarkStart w:id="31" w:name="_Toc462928355"/>
      <w:bookmarkStart w:id="32" w:name="_Toc463031761"/>
      <w:bookmarkStart w:id="33" w:name="_Toc469997098"/>
      <w:bookmarkStart w:id="34" w:name="_Toc471511994"/>
      <w:bookmarkStart w:id="35" w:name="_Toc471522471"/>
      <w:bookmarkEnd w:id="27"/>
      <w:bookmarkEnd w:id="30"/>
      <w:bookmarkEnd w:id="31"/>
      <w:bookmarkEnd w:id="32"/>
      <w:bookmarkEnd w:id="33"/>
      <w:bookmarkEnd w:id="34"/>
      <w:bookmarkEnd w:id="35"/>
      <w:r w:rsidRPr="008E7A7B">
        <w:rPr>
          <w:lang w:val="en-US"/>
        </w:rPr>
        <w:t>Conclusion</w:t>
      </w:r>
    </w:p>
    <w:p w14:paraId="0483A818" w14:textId="77777777" w:rsidR="004D2903" w:rsidRDefault="004D2903" w:rsidP="004D2903">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w:t>
      </w:r>
      <w:r>
        <w:rPr>
          <w:lang w:val="en-US"/>
        </w:rPr>
        <w:t>observations</w:t>
      </w:r>
      <w:r w:rsidRPr="008E7A7B">
        <w:rPr>
          <w:lang w:val="en-US"/>
        </w:rPr>
        <w:t>:</w:t>
      </w:r>
    </w:p>
    <w:p w14:paraId="49D44E93" w14:textId="7484CBBA" w:rsidR="004D2903" w:rsidRDefault="004D2903" w:rsidP="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r>
      <w:r w:rsidR="00F039D9" w:rsidRPr="00F039D9">
        <w:t>If an MCG split SRB1 is configured and the SCG i.e., SRB1S, is the only configured path for that SRB, upon the detection of an SCG failure, it is not clear how the UE can send the SCGFailureInformation message to the MN.</w:t>
      </w:r>
    </w:p>
    <w:p w14:paraId="70D73D88" w14:textId="5421E3E7" w:rsidR="004D2903" w:rsidRDefault="004D2903" w:rsidP="004D290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00700B06" w:rsidRPr="00700B06">
        <w:t xml:space="preserve">If an MCG split SRB1 is configured and the SCG is the only configured path for that SRB, after a UE has experienced a failure on the SCG, the UE could initiate an RRC connection re-establishment procedure to restore the connectivity. However, this would result in a significant service interruption time.  </w:t>
      </w:r>
    </w:p>
    <w:p w14:paraId="0C608C56" w14:textId="77777777" w:rsidR="004D2903" w:rsidRDefault="004D2903" w:rsidP="004D2903">
      <w:pPr>
        <w:pStyle w:val="BodyText"/>
        <w:rPr>
          <w:b/>
          <w:bCs/>
        </w:rPr>
      </w:pPr>
      <w:r>
        <w:rPr>
          <w:b/>
          <w:bCs/>
        </w:rPr>
        <w:fldChar w:fldCharType="end"/>
      </w:r>
    </w:p>
    <w:p w14:paraId="0547B804" w14:textId="77777777" w:rsidR="003305E8" w:rsidRPr="00E82C6E" w:rsidRDefault="004D2903">
      <w:pPr>
        <w:pStyle w:val="TOC1"/>
        <w:rPr>
          <w:b w:val="0"/>
        </w:rPr>
      </w:pPr>
      <w:r w:rsidRPr="00E82C6E">
        <w:rPr>
          <w:b w:val="0"/>
        </w:rPr>
        <w:lastRenderedPageBreak/>
        <w:t>And we propose the following:</w:t>
      </w:r>
    </w:p>
    <w:p w14:paraId="54BEEF82" w14:textId="77777777" w:rsidR="00F755E1" w:rsidRDefault="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755E1">
        <w:t>Proposal 1</w:t>
      </w:r>
      <w:r w:rsidR="00F755E1">
        <w:rPr>
          <w:rFonts w:asciiTheme="minorHAnsi" w:eastAsiaTheme="minorEastAsia" w:hAnsiTheme="minorHAnsi" w:cstheme="minorBidi"/>
          <w:b w:val="0"/>
          <w:sz w:val="22"/>
          <w:lang w:eastAsia="en-US"/>
        </w:rPr>
        <w:tab/>
      </w:r>
      <w:r w:rsidR="00F755E1">
        <w:t>Upon detecting an SCG failure, a UE that is configured with SCG as the only path for split SRB1, switches the path of the split SRB1 to the MCG to send SCGFailureInformation message to the MN.</w:t>
      </w:r>
    </w:p>
    <w:p w14:paraId="737BF5B0" w14:textId="1EE6E374" w:rsidR="004D2903" w:rsidRDefault="004D2903" w:rsidP="004D2903">
      <w:pPr>
        <w:pStyle w:val="BodyText"/>
        <w:rPr>
          <w:b/>
          <w:bCs/>
        </w:rPr>
      </w:pPr>
      <w:r>
        <w:rPr>
          <w:b/>
          <w:bCs/>
        </w:rPr>
        <w:fldChar w:fldCharType="end"/>
      </w:r>
    </w:p>
    <w:p w14:paraId="6426D2B9" w14:textId="1B8E876D" w:rsidR="005C38E2" w:rsidRDefault="005C38E2" w:rsidP="005C38E2">
      <w:pPr>
        <w:pStyle w:val="Heading1"/>
        <w:rPr>
          <w:lang w:val="en-US"/>
        </w:rPr>
      </w:pPr>
      <w:r>
        <w:rPr>
          <w:lang w:val="en-US"/>
        </w:rPr>
        <w:t>Text proposal to 36.331</w:t>
      </w:r>
    </w:p>
    <w:p w14:paraId="7855ABD1" w14:textId="77777777" w:rsidR="005C38E2" w:rsidRDefault="005C38E2" w:rsidP="005C38E2">
      <w:pPr>
        <w:pStyle w:val="Note-Boxed"/>
        <w:jc w:val="center"/>
        <w:rPr>
          <w:rFonts w:ascii="Times New Roman" w:hAnsi="Times New Roman" w:cs="Times New Roman"/>
        </w:rPr>
      </w:pPr>
      <w:bookmarkStart w:id="36" w:name="_Hlk503385553"/>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09AD7840" w14:textId="77777777" w:rsidR="005C38E2" w:rsidRDefault="005C38E2" w:rsidP="00F13DA1">
      <w:pPr>
        <w:pStyle w:val="Heading4"/>
        <w:numPr>
          <w:ilvl w:val="0"/>
          <w:numId w:val="0"/>
        </w:numPr>
        <w:ind w:left="864" w:hanging="864"/>
        <w:rPr>
          <w:lang w:eastAsia="x-none"/>
        </w:rPr>
      </w:pPr>
      <w:bookmarkStart w:id="37" w:name="_Toc494149838"/>
      <w:r>
        <w:t>5.6.13.3</w:t>
      </w:r>
      <w:r>
        <w:tab/>
        <w:t xml:space="preserve">Actions related to transmission of </w:t>
      </w:r>
      <w:r>
        <w:rPr>
          <w:i/>
        </w:rPr>
        <w:t xml:space="preserve">SCGFailureInformation </w:t>
      </w:r>
      <w:r>
        <w:t>message</w:t>
      </w:r>
      <w:bookmarkEnd w:id="37"/>
    </w:p>
    <w:p w14:paraId="5EEAE486" w14:textId="77777777" w:rsidR="005C38E2" w:rsidRDefault="005C38E2" w:rsidP="005C38E2">
      <w:r w:rsidRPr="004E1F03">
        <w:t xml:space="preserve">The UE shall set the contents of the </w:t>
      </w:r>
      <w:r w:rsidRPr="004E1F03">
        <w:rPr>
          <w:i/>
        </w:rPr>
        <w:t>SCGFailureInformation</w:t>
      </w:r>
      <w:r w:rsidRPr="004E1F03">
        <w:t xml:space="preserve"> message as follows:</w:t>
      </w:r>
    </w:p>
    <w:p w14:paraId="744DC823" w14:textId="77777777" w:rsidR="005C38E2" w:rsidRPr="00037253" w:rsidRDefault="005C38E2" w:rsidP="005C38E2">
      <w:pPr>
        <w:pStyle w:val="B1"/>
      </w:pPr>
      <w:r>
        <w:t>1&gt;</w:t>
      </w:r>
      <w:r>
        <w:tab/>
        <w:t xml:space="preserve">if the UE initiates transmission of the </w:t>
      </w:r>
      <w:r w:rsidRPr="00037253">
        <w:rPr>
          <w:i/>
        </w:rPr>
        <w:t>SCGFailureInformation</w:t>
      </w:r>
      <w:r>
        <w:t xml:space="preserve"> message to provide SCG failure information for an E-UTRA SCG:</w:t>
      </w:r>
    </w:p>
    <w:p w14:paraId="6703D049" w14:textId="77777777" w:rsidR="005C38E2" w:rsidRPr="004E1F03" w:rsidRDefault="005C38E2" w:rsidP="005C38E2">
      <w:pPr>
        <w:pStyle w:val="B2"/>
      </w:pPr>
      <w:r>
        <w:t>2</w:t>
      </w:r>
      <w:r w:rsidRPr="004E1F03">
        <w:t>&gt;</w:t>
      </w:r>
      <w:r w:rsidRPr="004E1F03">
        <w:tab/>
        <w:t xml:space="preserve">if the UE initiates transmission of the </w:t>
      </w:r>
      <w:r w:rsidRPr="004E1F03">
        <w:rPr>
          <w:i/>
        </w:rPr>
        <w:t xml:space="preserve">SCGFailureInformation </w:t>
      </w:r>
      <w:r w:rsidRPr="004E1F03">
        <w:t>message to provide SCG radio link failure information:</w:t>
      </w:r>
    </w:p>
    <w:p w14:paraId="185A7E2D" w14:textId="77777777" w:rsidR="005C38E2" w:rsidRPr="004E1F03" w:rsidRDefault="005C38E2" w:rsidP="005C38E2">
      <w:pPr>
        <w:pStyle w:val="B3"/>
      </w:pPr>
      <w:r>
        <w:t>3</w:t>
      </w:r>
      <w:r w:rsidRPr="004E1F03">
        <w:t>&gt;</w:t>
      </w:r>
      <w:r w:rsidRPr="004E1F03">
        <w:tab/>
        <w:t xml:space="preserve">include </w:t>
      </w:r>
      <w:r w:rsidRPr="004E1F03">
        <w:rPr>
          <w:i/>
        </w:rPr>
        <w:t>failure</w:t>
      </w:r>
      <w:r w:rsidRPr="004E1F03">
        <w:rPr>
          <w:i/>
          <w:lang w:eastAsia="zh-CN"/>
        </w:rPr>
        <w:t xml:space="preserve">Type </w:t>
      </w:r>
      <w:r w:rsidRPr="004E1F03">
        <w:t>and set it to the trigger for detecting SCG radio link failure;</w:t>
      </w:r>
    </w:p>
    <w:p w14:paraId="62A74F46" w14:textId="77777777" w:rsidR="005C38E2" w:rsidRPr="004E1F03" w:rsidRDefault="005C38E2" w:rsidP="005C38E2">
      <w:pPr>
        <w:pStyle w:val="B2"/>
      </w:pPr>
      <w:r>
        <w:t>2</w:t>
      </w:r>
      <w:r w:rsidRPr="004E1F03">
        <w:t>&gt;</w:t>
      </w:r>
      <w:r w:rsidRPr="004E1F03">
        <w:tab/>
        <w:t xml:space="preserve">else if the UE initiates transmission of the </w:t>
      </w:r>
      <w:r w:rsidRPr="004E1F03">
        <w:rPr>
          <w:i/>
        </w:rPr>
        <w:t xml:space="preserve">SCGFailureInformation </w:t>
      </w:r>
      <w:r w:rsidRPr="004E1F03">
        <w:t>message to provide SCG change failure information:</w:t>
      </w:r>
    </w:p>
    <w:p w14:paraId="479922D8" w14:textId="77777777" w:rsidR="005C38E2" w:rsidRPr="004E1F03" w:rsidRDefault="005C38E2" w:rsidP="005C38E2">
      <w:pPr>
        <w:pStyle w:val="B3"/>
      </w:pPr>
      <w:r>
        <w:rPr>
          <w:lang w:eastAsia="zh-CN"/>
        </w:rPr>
        <w:t>3</w:t>
      </w:r>
      <w:r w:rsidRPr="004E1F03">
        <w:rPr>
          <w:lang w:eastAsia="zh-CN"/>
        </w:rPr>
        <w:t>&gt;</w:t>
      </w:r>
      <w:r w:rsidRPr="004E1F03">
        <w:rPr>
          <w:lang w:eastAsia="zh-CN"/>
        </w:rPr>
        <w:tab/>
      </w:r>
      <w:r w:rsidRPr="004E1F03">
        <w:t>include failure</w:t>
      </w:r>
      <w:r w:rsidRPr="004E1F03">
        <w:rPr>
          <w:lang w:eastAsia="zh-CN"/>
        </w:rPr>
        <w:t xml:space="preserve">Type </w:t>
      </w:r>
      <w:r w:rsidRPr="004E1F03">
        <w:t xml:space="preserve">and set it </w:t>
      </w:r>
      <w:r w:rsidRPr="004E1F03">
        <w:rPr>
          <w:lang w:eastAsia="zh-CN"/>
        </w:rPr>
        <w:t>to</w:t>
      </w:r>
      <w:r w:rsidRPr="004E1F03">
        <w:t xml:space="preserve"> scg-ChangeFailure;</w:t>
      </w:r>
    </w:p>
    <w:p w14:paraId="58DAA051" w14:textId="77777777" w:rsidR="005C38E2" w:rsidRPr="004E1F03" w:rsidRDefault="005C38E2" w:rsidP="005C38E2">
      <w:pPr>
        <w:pStyle w:val="B2"/>
      </w:pPr>
      <w:r>
        <w:t>2</w:t>
      </w:r>
      <w:r w:rsidRPr="004E1F03">
        <w:t>&gt;</w:t>
      </w:r>
      <w:r w:rsidRPr="004E1F03">
        <w:tab/>
        <w:t xml:space="preserve">else if the UE initiates transmission of the </w:t>
      </w:r>
      <w:r w:rsidRPr="004E1F03">
        <w:rPr>
          <w:i/>
        </w:rPr>
        <w:t xml:space="preserve">SCGFailureInformation </w:t>
      </w:r>
      <w:r w:rsidRPr="004E1F03">
        <w:t>message due to exceeding maximum uplink transmission timing difference:</w:t>
      </w:r>
    </w:p>
    <w:p w14:paraId="56453A30" w14:textId="77777777" w:rsidR="005C38E2" w:rsidRPr="004E1F03" w:rsidRDefault="005C38E2" w:rsidP="005C38E2">
      <w:pPr>
        <w:pStyle w:val="B3"/>
      </w:pPr>
      <w:r>
        <w:rPr>
          <w:lang w:eastAsia="zh-CN"/>
        </w:rPr>
        <w:t>3</w:t>
      </w:r>
      <w:r w:rsidRPr="004E1F03">
        <w:rPr>
          <w:lang w:eastAsia="zh-CN"/>
        </w:rPr>
        <w:t>&gt;</w:t>
      </w:r>
      <w:r w:rsidRPr="004E1F03">
        <w:rPr>
          <w:lang w:eastAsia="zh-CN"/>
        </w:rPr>
        <w:tab/>
      </w:r>
      <w:r w:rsidRPr="004E1F03">
        <w:t xml:space="preserve">include </w:t>
      </w:r>
      <w:r w:rsidRPr="004E1F03">
        <w:rPr>
          <w:i/>
        </w:rPr>
        <w:t>failure</w:t>
      </w:r>
      <w:r w:rsidRPr="004E1F03">
        <w:rPr>
          <w:i/>
          <w:lang w:eastAsia="zh-CN"/>
        </w:rPr>
        <w:t>Type</w:t>
      </w:r>
      <w:r w:rsidRPr="004E1F03">
        <w:rPr>
          <w:lang w:eastAsia="zh-CN"/>
        </w:rPr>
        <w:t xml:space="preserve"> </w:t>
      </w:r>
      <w:r w:rsidRPr="004E1F03">
        <w:t xml:space="preserve">and set it </w:t>
      </w:r>
      <w:r w:rsidRPr="004E1F03">
        <w:rPr>
          <w:lang w:eastAsia="zh-CN"/>
        </w:rPr>
        <w:t>to</w:t>
      </w:r>
      <w:r w:rsidRPr="004E1F03">
        <w:t xml:space="preserve"> </w:t>
      </w:r>
      <w:r w:rsidRPr="004E1F03">
        <w:rPr>
          <w:i/>
        </w:rPr>
        <w:t>maxUL-TimingDiff</w:t>
      </w:r>
      <w:r w:rsidRPr="004E1F03">
        <w:t>;</w:t>
      </w:r>
    </w:p>
    <w:p w14:paraId="38D61975" w14:textId="77777777" w:rsidR="005C38E2" w:rsidRPr="004E1F03" w:rsidRDefault="005C38E2" w:rsidP="005C38E2">
      <w:pPr>
        <w:pStyle w:val="B2"/>
      </w:pPr>
      <w:r>
        <w:t>2</w:t>
      </w:r>
      <w:r w:rsidRPr="004E1F03">
        <w:t>&gt;</w:t>
      </w:r>
      <w:r w:rsidRPr="004E1F03">
        <w:tab/>
        <w:t xml:space="preserve">set the </w:t>
      </w:r>
      <w:r w:rsidRPr="004E1F03">
        <w:rPr>
          <w:i/>
        </w:rPr>
        <w:t>measResultServFreqList</w:t>
      </w:r>
      <w:r w:rsidRPr="004E1F03">
        <w:t xml:space="preserve"> to include for each </w:t>
      </w:r>
      <w:r w:rsidRPr="00037253">
        <w:t xml:space="preserve">E-UTRA </w:t>
      </w:r>
      <w:r w:rsidRPr="004E1F03">
        <w:t xml:space="preserve">SCG cell that is configured, if any, within </w:t>
      </w:r>
      <w:r w:rsidRPr="004E1F03">
        <w:rPr>
          <w:i/>
        </w:rPr>
        <w:t>measResultSCell</w:t>
      </w:r>
      <w:r w:rsidRPr="004E1F03">
        <w:t xml:space="preserve"> the quantities of the concerned SCell, if available according to performance requirements in [16];</w:t>
      </w:r>
    </w:p>
    <w:p w14:paraId="089B6510" w14:textId="77777777" w:rsidR="005C38E2" w:rsidRPr="004E1F03" w:rsidRDefault="005C38E2" w:rsidP="005C38E2">
      <w:pPr>
        <w:pStyle w:val="B2"/>
      </w:pPr>
      <w:r>
        <w:t>2</w:t>
      </w:r>
      <w:r w:rsidRPr="004E1F03">
        <w:t>&gt;</w:t>
      </w:r>
      <w:r w:rsidRPr="004E1F03">
        <w:tab/>
        <w:t xml:space="preserve">for each </w:t>
      </w:r>
      <w:r w:rsidRPr="00037253">
        <w:t xml:space="preserve">E-UTRA </w:t>
      </w:r>
      <w:r w:rsidRPr="004E1F03">
        <w:t xml:space="preserve">SCG serving frequency included in </w:t>
      </w:r>
      <w:r w:rsidRPr="004E1F03">
        <w:rPr>
          <w:i/>
        </w:rPr>
        <w:t>measResultServFreqList</w:t>
      </w:r>
      <w:r w:rsidRPr="004E1F03">
        <w:t xml:space="preserve">, include within </w:t>
      </w:r>
      <w:r w:rsidRPr="004E1F03">
        <w:rPr>
          <w:i/>
        </w:rPr>
        <w:t>measResultBestNeighCell</w:t>
      </w:r>
      <w:r w:rsidRPr="004E1F03">
        <w:t xml:space="preserve"> the </w:t>
      </w:r>
      <w:r w:rsidRPr="004E1F03">
        <w:rPr>
          <w:i/>
        </w:rPr>
        <w:t>physCellId</w:t>
      </w:r>
      <w:r w:rsidRPr="004E1F03">
        <w:t xml:space="preserve"> and the quantities of the best non-serving cell, based on RSRP, on the concerned serving frequency;</w:t>
      </w:r>
    </w:p>
    <w:p w14:paraId="4C80DC32" w14:textId="77777777" w:rsidR="005C38E2" w:rsidRPr="004E1F03" w:rsidRDefault="005C38E2" w:rsidP="005C38E2">
      <w:pPr>
        <w:pStyle w:val="B2"/>
      </w:pPr>
      <w:r>
        <w:t>2</w:t>
      </w:r>
      <w:r w:rsidRPr="004E1F03">
        <w:t>&gt;</w:t>
      </w:r>
      <w:r w:rsidRPr="004E1F03">
        <w:tab/>
        <w:t xml:space="preserve">set the </w:t>
      </w:r>
      <w:r w:rsidRPr="004E1F03">
        <w:rPr>
          <w:i/>
        </w:rPr>
        <w:t xml:space="preserve">measResultNeighCells </w:t>
      </w:r>
      <w:r w:rsidRPr="004E1F03">
        <w:t>to include the best measured cells on non-serving E-UTRA frequencies, ordered such that the best cell is listed first, and based on measurements collected up to the moment the UE detected the failure, and set its fields as follows;</w:t>
      </w:r>
    </w:p>
    <w:p w14:paraId="068C4BA6" w14:textId="77777777" w:rsidR="005C38E2" w:rsidRPr="004E1F03" w:rsidRDefault="005C38E2" w:rsidP="005C38E2">
      <w:pPr>
        <w:pStyle w:val="B3"/>
      </w:pPr>
      <w:r>
        <w:t>3</w:t>
      </w:r>
      <w:r w:rsidRPr="004E1F03">
        <w:t>&gt;</w:t>
      </w:r>
      <w:r w:rsidRPr="004E1F03">
        <w:tab/>
        <w:t xml:space="preserve">if the UE was configured to perform measurements for one or more non-serving EUTRA frequencies and measurement results are available, include the </w:t>
      </w:r>
      <w:r w:rsidRPr="004E1F03">
        <w:rPr>
          <w:i/>
        </w:rPr>
        <w:t>measResultListEUTRA</w:t>
      </w:r>
      <w:r w:rsidRPr="004E1F03">
        <w:t>;</w:t>
      </w:r>
    </w:p>
    <w:p w14:paraId="4F3EDED8" w14:textId="77777777" w:rsidR="005C38E2" w:rsidRPr="004E1F03" w:rsidRDefault="005C38E2" w:rsidP="005C38E2">
      <w:pPr>
        <w:pStyle w:val="B3"/>
      </w:pPr>
      <w:r>
        <w:t>3</w:t>
      </w:r>
      <w:r w:rsidRPr="004E1F03">
        <w:t>&gt;</w:t>
      </w:r>
      <w:r w:rsidRPr="004E1F03">
        <w:tab/>
        <w:t>for each neighbour cell included, include the optional fields that are available;</w:t>
      </w:r>
    </w:p>
    <w:p w14:paraId="39F7DF82" w14:textId="77777777" w:rsidR="005C38E2" w:rsidRDefault="005C38E2" w:rsidP="005C38E2">
      <w:pPr>
        <w:pStyle w:val="NO"/>
      </w:pPr>
      <w:r w:rsidRPr="004E1F03">
        <w:t>NOTE 2:</w:t>
      </w:r>
      <w:r w:rsidRPr="004E1F03">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5464C4D" w14:textId="77777777" w:rsidR="005C38E2" w:rsidRDefault="005C38E2" w:rsidP="005C38E2">
      <w:pPr>
        <w:pStyle w:val="B1"/>
      </w:pPr>
      <w:r>
        <w:t>1&gt;</w:t>
      </w:r>
      <w:r>
        <w:tab/>
        <w:t xml:space="preserve">else if the UE initiates transmission of the </w:t>
      </w:r>
      <w:r w:rsidRPr="00037253">
        <w:rPr>
          <w:i/>
        </w:rPr>
        <w:t>SCGFailureInformation</w:t>
      </w:r>
      <w:r>
        <w:t xml:space="preserve"> message to provide SCG failure information for an NR SCG:</w:t>
      </w:r>
    </w:p>
    <w:p w14:paraId="24EA0A27" w14:textId="77777777" w:rsidR="005C38E2" w:rsidRDefault="005C38E2" w:rsidP="005C38E2">
      <w:pPr>
        <w:pStyle w:val="B2"/>
      </w:pPr>
      <w:r>
        <w:t>2&gt;</w:t>
      </w:r>
      <w:r>
        <w:tab/>
        <w:t xml:space="preserve">include </w:t>
      </w:r>
      <w:r w:rsidRPr="00037253">
        <w:rPr>
          <w:i/>
        </w:rPr>
        <w:t>failureType</w:t>
      </w:r>
      <w:r>
        <w:t xml:space="preserve"> within </w:t>
      </w:r>
      <w:r w:rsidRPr="00037253">
        <w:rPr>
          <w:i/>
        </w:rPr>
        <w:t>failureReportSCG-NR</w:t>
      </w:r>
      <w:r>
        <w:t xml:space="preserve"> and set it to indicate the SCG failure in accordance with TS 38.331 [82, 5.7.3.3];</w:t>
      </w:r>
    </w:p>
    <w:p w14:paraId="41944E76" w14:textId="77777777" w:rsidR="005C38E2" w:rsidRDefault="005C38E2" w:rsidP="005C38E2">
      <w:pPr>
        <w:pStyle w:val="B2"/>
      </w:pPr>
      <w:r>
        <w:t>2&gt;</w:t>
      </w:r>
      <w:r>
        <w:tab/>
        <w:t xml:space="preserve">include and set </w:t>
      </w:r>
      <w:r w:rsidRPr="00037253">
        <w:rPr>
          <w:i/>
        </w:rPr>
        <w:t>measResultSCG</w:t>
      </w:r>
      <w:r>
        <w:t xml:space="preserve"> in accordance with TS 38.331 [82, 5.7.3.4]:</w:t>
      </w:r>
    </w:p>
    <w:p w14:paraId="7192EBF7" w14:textId="77777777" w:rsidR="005C38E2" w:rsidRDefault="005C38E2" w:rsidP="005C38E2">
      <w:pPr>
        <w:pStyle w:val="B2"/>
      </w:pPr>
      <w:r>
        <w:lastRenderedPageBreak/>
        <w:t>2&gt;</w:t>
      </w:r>
      <w:r>
        <w:tab/>
        <w:t xml:space="preserve">for each NR frequency the UE is configured to measure by </w:t>
      </w:r>
      <w:r w:rsidRPr="00037253">
        <w:rPr>
          <w:i/>
        </w:rPr>
        <w:t>measConfig</w:t>
      </w:r>
      <w:r>
        <w:t xml:space="preserve"> for which measurement results are available:</w:t>
      </w:r>
    </w:p>
    <w:p w14:paraId="2C736089" w14:textId="77777777" w:rsidR="005C38E2" w:rsidRDefault="005C38E2" w:rsidP="005C38E2">
      <w:pPr>
        <w:pStyle w:val="B3"/>
      </w:pPr>
      <w:r>
        <w:t>3&gt;</w:t>
      </w:r>
      <w:r>
        <w:tab/>
        <w:t xml:space="preserve">set the </w:t>
      </w:r>
      <w:r w:rsidRPr="00037253">
        <w:rPr>
          <w:i/>
        </w:rPr>
        <w:t>measResultFreqListNR</w:t>
      </w:r>
      <w:r>
        <w:t xml:space="preserve"> to include the best measured cells, ordered such that the best cell is listed first, and based on measurements collected up to the moment the UE detected the failure, and for each cell that is included, include the optional fields that are available;</w:t>
      </w:r>
    </w:p>
    <w:p w14:paraId="614B40B5" w14:textId="77777777" w:rsidR="005C38E2" w:rsidRDefault="005C38E2" w:rsidP="005C38E2">
      <w:pPr>
        <w:pStyle w:val="B1"/>
        <w:rPr>
          <w:ins w:id="38" w:author="Ericsson" w:date="2018-01-12T00:05:00Z"/>
        </w:rPr>
      </w:pPr>
      <w:ins w:id="39" w:author="Ericsson" w:date="2018-01-12T00:05:00Z">
        <w:r>
          <w:t>1&gt;</w:t>
        </w:r>
        <w:r>
          <w:tab/>
        </w:r>
        <w:r w:rsidRPr="008C1EC5">
          <w:t xml:space="preserve">If SRB1 is configured with </w:t>
        </w:r>
        <w:r w:rsidRPr="003305E8">
          <w:rPr>
            <w:i/>
          </w:rPr>
          <w:t>pdcp-config</w:t>
        </w:r>
        <w:r w:rsidRPr="003305E8">
          <w:t>:</w:t>
        </w:r>
      </w:ins>
    </w:p>
    <w:p w14:paraId="1EFE50E6" w14:textId="77777777" w:rsidR="005C38E2" w:rsidRDefault="005C38E2" w:rsidP="000131AB">
      <w:pPr>
        <w:pStyle w:val="B2"/>
        <w:rPr>
          <w:ins w:id="40" w:author="Ericsson" w:date="2018-01-12T00:05:00Z"/>
        </w:rPr>
      </w:pPr>
      <w:ins w:id="41" w:author="Ericsson" w:date="2018-01-12T00:05:00Z">
        <w:r>
          <w:t>2 &gt; if</w:t>
        </w:r>
        <w:r w:rsidRPr="008C1EC5">
          <w:t xml:space="preserve"> the </w:t>
        </w:r>
        <w:r w:rsidRPr="003305E8">
          <w:rPr>
            <w:i/>
          </w:rPr>
          <w:t>primaryPath</w:t>
        </w:r>
        <w:r w:rsidRPr="008C1EC5">
          <w:t xml:space="preserve"> is associated with the SCG</w:t>
        </w:r>
        <w:r>
          <w:t xml:space="preserve">, </w:t>
        </w:r>
        <w:r w:rsidRPr="003305E8">
          <w:rPr>
            <w:i/>
          </w:rPr>
          <w:t>ul-DataSplitThreshold</w:t>
        </w:r>
        <w:r w:rsidRPr="008C1EC5">
          <w:t xml:space="preserve"> is set to </w:t>
        </w:r>
        <w:r w:rsidRPr="003305E8">
          <w:rPr>
            <w:i/>
          </w:rPr>
          <w:t>release</w:t>
        </w:r>
        <w:r>
          <w:rPr>
            <w:i/>
          </w:rPr>
          <w:t>,</w:t>
        </w:r>
        <w:r w:rsidRPr="008C1EC5">
          <w:t xml:space="preserve"> and </w:t>
        </w:r>
        <w:r w:rsidRPr="003305E8">
          <w:rPr>
            <w:i/>
          </w:rPr>
          <w:t>ul-duplication</w:t>
        </w:r>
        <w:r w:rsidRPr="008C1EC5">
          <w:t xml:space="preserve"> is set to</w:t>
        </w:r>
      </w:ins>
      <w:r>
        <w:t xml:space="preserve"> </w:t>
      </w:r>
      <w:ins w:id="42" w:author="Ericsson" w:date="2018-01-12T00:33:00Z">
        <w:r w:rsidRPr="00E75CFE">
          <w:rPr>
            <w:i/>
          </w:rPr>
          <w:t>FALSE</w:t>
        </w:r>
      </w:ins>
      <w:ins w:id="43" w:author="Ericsson" w:date="2018-01-12T00:05:00Z">
        <w:r>
          <w:t>:</w:t>
        </w:r>
      </w:ins>
    </w:p>
    <w:p w14:paraId="1D7245AC" w14:textId="77777777" w:rsidR="005C38E2" w:rsidRDefault="005C38E2" w:rsidP="000131AB">
      <w:pPr>
        <w:pStyle w:val="B3"/>
        <w:rPr>
          <w:ins w:id="44" w:author="Ericsson" w:date="2018-01-12T00:05:00Z"/>
        </w:rPr>
      </w:pPr>
      <w:ins w:id="45" w:author="Ericsson" w:date="2018-01-12T00:05:00Z">
        <w:r>
          <w:t xml:space="preserve">3&gt; the UE shall change the </w:t>
        </w:r>
        <w:r w:rsidRPr="003305E8">
          <w:rPr>
            <w:i/>
          </w:rPr>
          <w:t>primaryPath</w:t>
        </w:r>
        <w:r>
          <w:t xml:space="preserve"> to the MCG;</w:t>
        </w:r>
      </w:ins>
    </w:p>
    <w:p w14:paraId="43E7A137" w14:textId="77777777" w:rsidR="005C38E2" w:rsidRPr="004E1F03" w:rsidRDefault="005C38E2" w:rsidP="005C38E2">
      <w:pPr>
        <w:pStyle w:val="NO"/>
      </w:pPr>
      <w:r>
        <w:t>NOTE 3:</w:t>
      </w:r>
      <w:r>
        <w:tab/>
        <w:t xml:space="preserve">Field </w:t>
      </w:r>
      <w:r w:rsidRPr="00037253">
        <w:rPr>
          <w:i/>
        </w:rPr>
        <w:t>measResultSCG</w:t>
      </w:r>
      <w:r>
        <w:t xml:space="preserve"> is used to report available results for NR frequencies the UE is configured to measure by NR RRC signalling.</w:t>
      </w:r>
    </w:p>
    <w:p w14:paraId="28208AA2" w14:textId="77777777" w:rsidR="005C38E2" w:rsidRPr="004E1F03" w:rsidRDefault="005C38E2" w:rsidP="005C38E2">
      <w:r w:rsidRPr="004E1F03">
        <w:t xml:space="preserve">The UE shall submit the </w:t>
      </w:r>
      <w:r w:rsidRPr="004E1F03">
        <w:rPr>
          <w:i/>
        </w:rPr>
        <w:t xml:space="preserve">SCGFailureInformation </w:t>
      </w:r>
      <w:r w:rsidRPr="004E1F03">
        <w:t>message to lower layers for transmission.</w:t>
      </w:r>
    </w:p>
    <w:p w14:paraId="03731F8E" w14:textId="77777777" w:rsidR="005C38E2" w:rsidRPr="00CE0424" w:rsidRDefault="005C38E2" w:rsidP="005C38E2">
      <w:pPr>
        <w:pStyle w:val="BodyText"/>
      </w:pPr>
    </w:p>
    <w:p w14:paraId="728E2EA0" w14:textId="77777777" w:rsidR="005C38E2" w:rsidRDefault="005C38E2" w:rsidP="005C38E2">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bookmarkEnd w:id="36"/>
    <w:p w14:paraId="539F9820" w14:textId="77777777" w:rsidR="005C38E2" w:rsidRDefault="005C38E2" w:rsidP="005C38E2"/>
    <w:bookmarkEnd w:id="0"/>
    <w:bookmarkEnd w:id="1"/>
    <w:bookmarkEnd w:id="2"/>
    <w:bookmarkEnd w:id="3"/>
    <w:bookmarkEnd w:id="4"/>
    <w:bookmarkEnd w:id="5"/>
    <w:bookmarkEnd w:id="6"/>
    <w:p w14:paraId="076FE2B5" w14:textId="55274F7C" w:rsidR="005B3495" w:rsidRPr="004D2903" w:rsidRDefault="005B3495" w:rsidP="004D2903"/>
    <w:sectPr w:rsidR="005B3495" w:rsidRPr="004D290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A74B5" w14:textId="77777777" w:rsidR="00B076A0" w:rsidRDefault="00B076A0">
      <w:r>
        <w:separator/>
      </w:r>
    </w:p>
  </w:endnote>
  <w:endnote w:type="continuationSeparator" w:id="0">
    <w:p w14:paraId="1677CAE0" w14:textId="77777777" w:rsidR="00B076A0" w:rsidRDefault="00B076A0">
      <w:r>
        <w:continuationSeparator/>
      </w:r>
    </w:p>
  </w:endnote>
  <w:endnote w:type="continuationNotice" w:id="1">
    <w:p w14:paraId="22805F2A" w14:textId="77777777" w:rsidR="00B076A0" w:rsidRDefault="00B07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93F9" w14:textId="2639BC30"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34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34D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D4D10" w14:textId="77777777" w:rsidR="00B076A0" w:rsidRDefault="00B076A0">
      <w:r>
        <w:separator/>
      </w:r>
    </w:p>
  </w:footnote>
  <w:footnote w:type="continuationSeparator" w:id="0">
    <w:p w14:paraId="4B21C272" w14:textId="77777777" w:rsidR="00B076A0" w:rsidRDefault="00B076A0">
      <w:r>
        <w:continuationSeparator/>
      </w:r>
    </w:p>
  </w:footnote>
  <w:footnote w:type="continuationNotice" w:id="1">
    <w:p w14:paraId="0E53F27A" w14:textId="77777777" w:rsidR="00B076A0" w:rsidRDefault="00B07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62A" w14:textId="77777777" w:rsidR="0041224F" w:rsidRDefault="004122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 w:numId="39">
    <w:abstractNumId w:val="24"/>
  </w:num>
  <w:num w:numId="40">
    <w:abstractNumId w:val="12"/>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MytzA1NTEyNTMxMbBU0lEKTi0uzszPAykwqgUAL/pP6iwAAAA="/>
  </w:docVars>
  <w:rsids>
    <w:rsidRoot w:val="00343A07"/>
    <w:rsid w:val="000006E1"/>
    <w:rsid w:val="00002A37"/>
    <w:rsid w:val="00005251"/>
    <w:rsid w:val="000059CB"/>
    <w:rsid w:val="0000613D"/>
    <w:rsid w:val="00006446"/>
    <w:rsid w:val="00006896"/>
    <w:rsid w:val="00007CDC"/>
    <w:rsid w:val="00007EC5"/>
    <w:rsid w:val="0001105C"/>
    <w:rsid w:val="00011B28"/>
    <w:rsid w:val="00012248"/>
    <w:rsid w:val="000131AB"/>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A03"/>
    <w:rsid w:val="00036BA1"/>
    <w:rsid w:val="00037B82"/>
    <w:rsid w:val="00041692"/>
    <w:rsid w:val="000422E2"/>
    <w:rsid w:val="00042F22"/>
    <w:rsid w:val="000444EF"/>
    <w:rsid w:val="0004531B"/>
    <w:rsid w:val="00045A52"/>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86D49"/>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839"/>
    <w:rsid w:val="000C4E25"/>
    <w:rsid w:val="000D0D07"/>
    <w:rsid w:val="000D171F"/>
    <w:rsid w:val="000D1DEF"/>
    <w:rsid w:val="000D376F"/>
    <w:rsid w:val="000D43CC"/>
    <w:rsid w:val="000D4797"/>
    <w:rsid w:val="000D4E66"/>
    <w:rsid w:val="000D5F44"/>
    <w:rsid w:val="000E0527"/>
    <w:rsid w:val="000E0EF2"/>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2872"/>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1A2E"/>
    <w:rsid w:val="001B575B"/>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3706C"/>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82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596C"/>
    <w:rsid w:val="00296227"/>
    <w:rsid w:val="00296F44"/>
    <w:rsid w:val="00297235"/>
    <w:rsid w:val="0029777D"/>
    <w:rsid w:val="002A055E"/>
    <w:rsid w:val="002A1D4E"/>
    <w:rsid w:val="002A2869"/>
    <w:rsid w:val="002A42AC"/>
    <w:rsid w:val="002A5B83"/>
    <w:rsid w:val="002A5D27"/>
    <w:rsid w:val="002B24D6"/>
    <w:rsid w:val="002B2576"/>
    <w:rsid w:val="002B3F85"/>
    <w:rsid w:val="002B6B3E"/>
    <w:rsid w:val="002B745E"/>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57EB"/>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05E8"/>
    <w:rsid w:val="00331751"/>
    <w:rsid w:val="00332F07"/>
    <w:rsid w:val="00334381"/>
    <w:rsid w:val="00334579"/>
    <w:rsid w:val="00335858"/>
    <w:rsid w:val="00335A52"/>
    <w:rsid w:val="00335D45"/>
    <w:rsid w:val="00336BDA"/>
    <w:rsid w:val="003410E4"/>
    <w:rsid w:val="0034230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3970"/>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E7A96"/>
    <w:rsid w:val="003F05C7"/>
    <w:rsid w:val="003F2CD4"/>
    <w:rsid w:val="003F2F8E"/>
    <w:rsid w:val="003F30C4"/>
    <w:rsid w:val="003F47F3"/>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40E0"/>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34DB"/>
    <w:rsid w:val="00465F3A"/>
    <w:rsid w:val="004669E2"/>
    <w:rsid w:val="00467571"/>
    <w:rsid w:val="00470C31"/>
    <w:rsid w:val="00471C89"/>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4D46"/>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A63"/>
    <w:rsid w:val="00554E19"/>
    <w:rsid w:val="00554F75"/>
    <w:rsid w:val="00555B13"/>
    <w:rsid w:val="00557DE8"/>
    <w:rsid w:val="0056121F"/>
    <w:rsid w:val="005657D7"/>
    <w:rsid w:val="00571D98"/>
    <w:rsid w:val="00572505"/>
    <w:rsid w:val="005730C8"/>
    <w:rsid w:val="0057469F"/>
    <w:rsid w:val="00574B62"/>
    <w:rsid w:val="0058053B"/>
    <w:rsid w:val="00582809"/>
    <w:rsid w:val="005853E0"/>
    <w:rsid w:val="005866DB"/>
    <w:rsid w:val="0058798C"/>
    <w:rsid w:val="005900FA"/>
    <w:rsid w:val="005915F5"/>
    <w:rsid w:val="00591C4A"/>
    <w:rsid w:val="005935A4"/>
    <w:rsid w:val="005948C2"/>
    <w:rsid w:val="005958B0"/>
    <w:rsid w:val="00595DCA"/>
    <w:rsid w:val="00596212"/>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5C83"/>
    <w:rsid w:val="005B6F83"/>
    <w:rsid w:val="005C09B9"/>
    <w:rsid w:val="005C38E2"/>
    <w:rsid w:val="005C630A"/>
    <w:rsid w:val="005C6B8F"/>
    <w:rsid w:val="005C6DDE"/>
    <w:rsid w:val="005C74FB"/>
    <w:rsid w:val="005D1602"/>
    <w:rsid w:val="005E091D"/>
    <w:rsid w:val="005E1345"/>
    <w:rsid w:val="005E2508"/>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63E3"/>
    <w:rsid w:val="0064746F"/>
    <w:rsid w:val="00650730"/>
    <w:rsid w:val="00650AB9"/>
    <w:rsid w:val="006523B5"/>
    <w:rsid w:val="00652CBD"/>
    <w:rsid w:val="00653393"/>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294E"/>
    <w:rsid w:val="00683ECE"/>
    <w:rsid w:val="00685335"/>
    <w:rsid w:val="00690235"/>
    <w:rsid w:val="00692D5E"/>
    <w:rsid w:val="00695FC2"/>
    <w:rsid w:val="00696949"/>
    <w:rsid w:val="00697052"/>
    <w:rsid w:val="006977CC"/>
    <w:rsid w:val="006A0315"/>
    <w:rsid w:val="006A285F"/>
    <w:rsid w:val="006A2FF7"/>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77E6"/>
    <w:rsid w:val="00700B06"/>
    <w:rsid w:val="00702A20"/>
    <w:rsid w:val="007032B3"/>
    <w:rsid w:val="0070346E"/>
    <w:rsid w:val="007046B2"/>
    <w:rsid w:val="00704EDB"/>
    <w:rsid w:val="0070537F"/>
    <w:rsid w:val="00706101"/>
    <w:rsid w:val="00707072"/>
    <w:rsid w:val="00707D61"/>
    <w:rsid w:val="00712287"/>
    <w:rsid w:val="00712772"/>
    <w:rsid w:val="00712900"/>
    <w:rsid w:val="0071364A"/>
    <w:rsid w:val="007148D3"/>
    <w:rsid w:val="00715392"/>
    <w:rsid w:val="007157B6"/>
    <w:rsid w:val="00715B9A"/>
    <w:rsid w:val="007178DA"/>
    <w:rsid w:val="00717DC3"/>
    <w:rsid w:val="00720992"/>
    <w:rsid w:val="00720FBC"/>
    <w:rsid w:val="00721593"/>
    <w:rsid w:val="00721A26"/>
    <w:rsid w:val="0072210E"/>
    <w:rsid w:val="0072240D"/>
    <w:rsid w:val="00723B96"/>
    <w:rsid w:val="00725C6D"/>
    <w:rsid w:val="00726EA6"/>
    <w:rsid w:val="00727208"/>
    <w:rsid w:val="00727352"/>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1204"/>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976"/>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1EC5"/>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077F5"/>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4055"/>
    <w:rsid w:val="009557EB"/>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4766"/>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388"/>
    <w:rsid w:val="00A62A77"/>
    <w:rsid w:val="00A63483"/>
    <w:rsid w:val="00A657D7"/>
    <w:rsid w:val="00A660AC"/>
    <w:rsid w:val="00A677C8"/>
    <w:rsid w:val="00A67E6C"/>
    <w:rsid w:val="00A719CA"/>
    <w:rsid w:val="00A71B99"/>
    <w:rsid w:val="00A71DD9"/>
    <w:rsid w:val="00A739D0"/>
    <w:rsid w:val="00A761D4"/>
    <w:rsid w:val="00A77EC4"/>
    <w:rsid w:val="00A83031"/>
    <w:rsid w:val="00A8332C"/>
    <w:rsid w:val="00A84ECB"/>
    <w:rsid w:val="00A84FE8"/>
    <w:rsid w:val="00A85A39"/>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076A0"/>
    <w:rsid w:val="00B120EF"/>
    <w:rsid w:val="00B129FA"/>
    <w:rsid w:val="00B13B00"/>
    <w:rsid w:val="00B157F9"/>
    <w:rsid w:val="00B15FA3"/>
    <w:rsid w:val="00B167F1"/>
    <w:rsid w:val="00B20256"/>
    <w:rsid w:val="00B20BA8"/>
    <w:rsid w:val="00B20D09"/>
    <w:rsid w:val="00B21F4C"/>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81A6C"/>
    <w:rsid w:val="00B83F29"/>
    <w:rsid w:val="00B84CC6"/>
    <w:rsid w:val="00B85DE5"/>
    <w:rsid w:val="00B8602D"/>
    <w:rsid w:val="00B864D8"/>
    <w:rsid w:val="00B90AE9"/>
    <w:rsid w:val="00B90F73"/>
    <w:rsid w:val="00B91FA6"/>
    <w:rsid w:val="00B93B59"/>
    <w:rsid w:val="00B9406A"/>
    <w:rsid w:val="00B944EE"/>
    <w:rsid w:val="00B949E6"/>
    <w:rsid w:val="00B95C59"/>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1CDB"/>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0ED"/>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7A3A"/>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1644"/>
    <w:rsid w:val="00C619D8"/>
    <w:rsid w:val="00C61F0A"/>
    <w:rsid w:val="00C634EA"/>
    <w:rsid w:val="00C63B7F"/>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07314"/>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989"/>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4A8"/>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09F6"/>
    <w:rsid w:val="00DC2D36"/>
    <w:rsid w:val="00DC48A7"/>
    <w:rsid w:val="00DC53EF"/>
    <w:rsid w:val="00DC5B9B"/>
    <w:rsid w:val="00DD5197"/>
    <w:rsid w:val="00DE187A"/>
    <w:rsid w:val="00DE5608"/>
    <w:rsid w:val="00DE58D0"/>
    <w:rsid w:val="00DE654F"/>
    <w:rsid w:val="00DF0B6E"/>
    <w:rsid w:val="00DF15E0"/>
    <w:rsid w:val="00DF37A0"/>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390"/>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2C6E"/>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39D9"/>
    <w:rsid w:val="00F0528D"/>
    <w:rsid w:val="00F06C67"/>
    <w:rsid w:val="00F06DFD"/>
    <w:rsid w:val="00F071D1"/>
    <w:rsid w:val="00F07533"/>
    <w:rsid w:val="00F07BD7"/>
    <w:rsid w:val="00F10629"/>
    <w:rsid w:val="00F117C7"/>
    <w:rsid w:val="00F13DA1"/>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4D42"/>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5E1"/>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1AB"/>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131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0131A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131A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0131AB"/>
    <w:pPr>
      <w:numPr>
        <w:ilvl w:val="3"/>
      </w:numPr>
      <w:outlineLvl w:val="3"/>
    </w:pPr>
    <w:rPr>
      <w:sz w:val="24"/>
      <w:szCs w:val="24"/>
    </w:rPr>
  </w:style>
  <w:style w:type="paragraph" w:styleId="Heading5">
    <w:name w:val="heading 5"/>
    <w:basedOn w:val="Heading4"/>
    <w:next w:val="Normal"/>
    <w:qFormat/>
    <w:rsid w:val="000131AB"/>
    <w:pPr>
      <w:numPr>
        <w:ilvl w:val="4"/>
      </w:numPr>
      <w:outlineLvl w:val="4"/>
    </w:pPr>
    <w:rPr>
      <w:sz w:val="22"/>
      <w:szCs w:val="22"/>
    </w:rPr>
  </w:style>
  <w:style w:type="paragraph" w:styleId="Heading6">
    <w:name w:val="heading 6"/>
    <w:basedOn w:val="Normal"/>
    <w:next w:val="Normal"/>
    <w:qFormat/>
    <w:rsid w:val="000131AB"/>
    <w:pPr>
      <w:keepNext/>
      <w:keepLines/>
      <w:numPr>
        <w:ilvl w:val="5"/>
        <w:numId w:val="1"/>
      </w:numPr>
      <w:spacing w:before="120"/>
      <w:outlineLvl w:val="5"/>
    </w:pPr>
    <w:rPr>
      <w:rFonts w:cs="Arial"/>
    </w:rPr>
  </w:style>
  <w:style w:type="paragraph" w:styleId="Heading7">
    <w:name w:val="heading 7"/>
    <w:basedOn w:val="Normal"/>
    <w:next w:val="Normal"/>
    <w:qFormat/>
    <w:rsid w:val="000131AB"/>
    <w:pPr>
      <w:keepNext/>
      <w:keepLines/>
      <w:numPr>
        <w:ilvl w:val="6"/>
        <w:numId w:val="1"/>
      </w:numPr>
      <w:spacing w:before="120"/>
      <w:outlineLvl w:val="6"/>
    </w:pPr>
    <w:rPr>
      <w:rFonts w:cs="Arial"/>
    </w:rPr>
  </w:style>
  <w:style w:type="paragraph" w:styleId="Heading8">
    <w:name w:val="heading 8"/>
    <w:basedOn w:val="Heading7"/>
    <w:next w:val="Normal"/>
    <w:qFormat/>
    <w:rsid w:val="000131AB"/>
    <w:pPr>
      <w:numPr>
        <w:ilvl w:val="7"/>
      </w:numPr>
      <w:outlineLvl w:val="7"/>
    </w:pPr>
  </w:style>
  <w:style w:type="paragraph" w:styleId="Heading9">
    <w:name w:val="heading 9"/>
    <w:basedOn w:val="Heading8"/>
    <w:next w:val="Normal"/>
    <w:qFormat/>
    <w:rsid w:val="000131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131AB"/>
    <w:pPr>
      <w:spacing w:before="180"/>
      <w:ind w:left="2693" w:hanging="2693"/>
    </w:pPr>
    <w:rPr>
      <w:b w:val="0"/>
      <w:bCs/>
    </w:rPr>
  </w:style>
  <w:style w:type="paragraph" w:styleId="TOC1">
    <w:name w:val="toc 1"/>
    <w:aliases w:val="Observation TOC2"/>
    <w:uiPriority w:val="39"/>
    <w:rsid w:val="000131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131AB"/>
    <w:pPr>
      <w:keepNext/>
      <w:keepLines/>
      <w:spacing w:before="180"/>
      <w:jc w:val="center"/>
    </w:pPr>
  </w:style>
  <w:style w:type="paragraph" w:styleId="Caption">
    <w:name w:val="caption"/>
    <w:basedOn w:val="Normal"/>
    <w:next w:val="Normal"/>
    <w:qFormat/>
    <w:rsid w:val="000131AB"/>
    <w:pPr>
      <w:spacing w:after="240"/>
      <w:jc w:val="center"/>
    </w:pPr>
    <w:rPr>
      <w:b/>
      <w:bCs/>
    </w:rPr>
  </w:style>
  <w:style w:type="paragraph" w:styleId="TOC5">
    <w:name w:val="toc 5"/>
    <w:aliases w:val="Observation TOC"/>
    <w:basedOn w:val="TOC4"/>
    <w:semiHidden/>
    <w:rsid w:val="000131AB"/>
    <w:pPr>
      <w:tabs>
        <w:tab w:val="right" w:pos="1701"/>
      </w:tabs>
      <w:ind w:left="1701" w:hanging="1701"/>
    </w:pPr>
  </w:style>
  <w:style w:type="paragraph" w:styleId="TOC4">
    <w:name w:val="toc 4"/>
    <w:basedOn w:val="TOC3"/>
    <w:semiHidden/>
    <w:rsid w:val="000131AB"/>
    <w:pPr>
      <w:ind w:left="1418" w:hanging="1418"/>
    </w:pPr>
  </w:style>
  <w:style w:type="paragraph" w:styleId="TOC3">
    <w:name w:val="toc 3"/>
    <w:basedOn w:val="TOC2"/>
    <w:semiHidden/>
    <w:rsid w:val="000131AB"/>
    <w:pPr>
      <w:ind w:left="1134" w:hanging="1134"/>
    </w:pPr>
  </w:style>
  <w:style w:type="paragraph" w:styleId="TOC2">
    <w:name w:val="toc 2"/>
    <w:basedOn w:val="TOC1"/>
    <w:rsid w:val="000131AB"/>
    <w:pPr>
      <w:keepNext w:val="0"/>
      <w:spacing w:before="0"/>
      <w:ind w:left="851" w:hanging="851"/>
    </w:pPr>
    <w:rPr>
      <w:szCs w:val="20"/>
    </w:rPr>
  </w:style>
  <w:style w:type="paragraph" w:styleId="Index2">
    <w:name w:val="index 2"/>
    <w:basedOn w:val="Index1"/>
    <w:semiHidden/>
    <w:rsid w:val="000131AB"/>
    <w:pPr>
      <w:ind w:left="284"/>
    </w:pPr>
  </w:style>
  <w:style w:type="paragraph" w:styleId="Index1">
    <w:name w:val="index 1"/>
    <w:basedOn w:val="Normal"/>
    <w:semiHidden/>
    <w:rsid w:val="000131AB"/>
    <w:pPr>
      <w:keepLines/>
      <w:spacing w:after="0"/>
    </w:pPr>
  </w:style>
  <w:style w:type="paragraph" w:styleId="DocumentMap">
    <w:name w:val="Document Map"/>
    <w:basedOn w:val="Normal"/>
    <w:semiHidden/>
    <w:rsid w:val="000131AB"/>
    <w:pPr>
      <w:shd w:val="clear" w:color="auto" w:fill="000080"/>
    </w:pPr>
    <w:rPr>
      <w:rFonts w:ascii="Tahoma" w:hAnsi="Tahoma" w:cs="Tahoma"/>
    </w:rPr>
  </w:style>
  <w:style w:type="paragraph" w:styleId="ListNumber2">
    <w:name w:val="List Number 2"/>
    <w:basedOn w:val="ListNumber"/>
    <w:rsid w:val="000131AB"/>
    <w:pPr>
      <w:ind w:left="851"/>
    </w:pPr>
  </w:style>
  <w:style w:type="paragraph" w:styleId="ListNumber">
    <w:name w:val="List Number"/>
    <w:basedOn w:val="List"/>
    <w:rsid w:val="000131AB"/>
  </w:style>
  <w:style w:type="paragraph" w:styleId="List">
    <w:name w:val="List"/>
    <w:basedOn w:val="Normal"/>
    <w:rsid w:val="000131AB"/>
    <w:pPr>
      <w:ind w:left="568" w:hanging="284"/>
    </w:pPr>
  </w:style>
  <w:style w:type="paragraph" w:styleId="Header">
    <w:name w:val="header"/>
    <w:rsid w:val="000131A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131AB"/>
    <w:rPr>
      <w:b/>
      <w:bCs/>
      <w:position w:val="6"/>
      <w:sz w:val="16"/>
      <w:szCs w:val="16"/>
    </w:rPr>
  </w:style>
  <w:style w:type="paragraph" w:styleId="FootnoteText">
    <w:name w:val="footnote text"/>
    <w:basedOn w:val="Normal"/>
    <w:semiHidden/>
    <w:rsid w:val="000131AB"/>
    <w:pPr>
      <w:keepLines/>
      <w:spacing w:after="0"/>
      <w:ind w:left="454" w:hanging="454"/>
    </w:pPr>
    <w:rPr>
      <w:sz w:val="16"/>
      <w:szCs w:val="16"/>
    </w:rPr>
  </w:style>
  <w:style w:type="paragraph" w:customStyle="1" w:styleId="3GPPHeader">
    <w:name w:val="3GPP_Header"/>
    <w:basedOn w:val="Normal"/>
    <w:rsid w:val="000131AB"/>
    <w:pPr>
      <w:tabs>
        <w:tab w:val="left" w:pos="1701"/>
        <w:tab w:val="right" w:pos="9639"/>
      </w:tabs>
      <w:spacing w:after="240"/>
    </w:pPr>
    <w:rPr>
      <w:b/>
      <w:sz w:val="24"/>
    </w:rPr>
  </w:style>
  <w:style w:type="paragraph" w:styleId="TOC9">
    <w:name w:val="toc 9"/>
    <w:basedOn w:val="TOC8"/>
    <w:semiHidden/>
    <w:rsid w:val="000131AB"/>
    <w:pPr>
      <w:ind w:left="1418" w:hanging="1418"/>
    </w:pPr>
  </w:style>
  <w:style w:type="paragraph" w:styleId="TOC6">
    <w:name w:val="toc 6"/>
    <w:basedOn w:val="TOC5"/>
    <w:next w:val="Normal"/>
    <w:semiHidden/>
    <w:rsid w:val="000131AB"/>
    <w:pPr>
      <w:ind w:left="1985" w:hanging="1985"/>
    </w:pPr>
  </w:style>
  <w:style w:type="paragraph" w:styleId="TOC7">
    <w:name w:val="toc 7"/>
    <w:basedOn w:val="TOC6"/>
    <w:next w:val="Normal"/>
    <w:semiHidden/>
    <w:rsid w:val="000131AB"/>
    <w:pPr>
      <w:ind w:left="2268" w:hanging="2268"/>
    </w:pPr>
  </w:style>
  <w:style w:type="paragraph" w:styleId="ListBullet2">
    <w:name w:val="List Bullet 2"/>
    <w:basedOn w:val="ListBullet"/>
    <w:rsid w:val="000131AB"/>
    <w:pPr>
      <w:numPr>
        <w:numId w:val="6"/>
      </w:numPr>
    </w:pPr>
  </w:style>
  <w:style w:type="paragraph" w:styleId="ListBullet">
    <w:name w:val="List Bullet"/>
    <w:basedOn w:val="BodyText"/>
    <w:rsid w:val="000131AB"/>
    <w:pPr>
      <w:numPr>
        <w:numId w:val="5"/>
      </w:numPr>
    </w:pPr>
  </w:style>
  <w:style w:type="paragraph" w:styleId="ListBullet3">
    <w:name w:val="List Bullet 3"/>
    <w:basedOn w:val="ListBullet2"/>
    <w:rsid w:val="000131AB"/>
    <w:pPr>
      <w:numPr>
        <w:numId w:val="7"/>
      </w:numPr>
    </w:pPr>
  </w:style>
  <w:style w:type="paragraph" w:customStyle="1" w:styleId="EQ">
    <w:name w:val="EQ"/>
    <w:basedOn w:val="Normal"/>
    <w:next w:val="Normal"/>
    <w:rsid w:val="000131AB"/>
    <w:pPr>
      <w:keepLines/>
      <w:tabs>
        <w:tab w:val="center" w:pos="4536"/>
        <w:tab w:val="right" w:pos="9072"/>
      </w:tabs>
      <w:spacing w:after="180"/>
      <w:jc w:val="left"/>
    </w:pPr>
    <w:rPr>
      <w:noProof/>
      <w:lang w:eastAsia="en-US"/>
    </w:rPr>
  </w:style>
  <w:style w:type="paragraph" w:styleId="List2">
    <w:name w:val="List 2"/>
    <w:basedOn w:val="List"/>
    <w:rsid w:val="000131AB"/>
    <w:pPr>
      <w:ind w:left="851"/>
    </w:pPr>
  </w:style>
  <w:style w:type="paragraph" w:styleId="List3">
    <w:name w:val="List 3"/>
    <w:basedOn w:val="List2"/>
    <w:rsid w:val="000131AB"/>
    <w:pPr>
      <w:ind w:left="1135"/>
    </w:pPr>
  </w:style>
  <w:style w:type="paragraph" w:styleId="List4">
    <w:name w:val="List 4"/>
    <w:basedOn w:val="List3"/>
    <w:rsid w:val="000131AB"/>
    <w:pPr>
      <w:ind w:left="1418"/>
    </w:pPr>
  </w:style>
  <w:style w:type="paragraph" w:styleId="List5">
    <w:name w:val="List 5"/>
    <w:basedOn w:val="List4"/>
    <w:rsid w:val="000131AB"/>
    <w:pPr>
      <w:ind w:left="1702"/>
    </w:pPr>
  </w:style>
  <w:style w:type="paragraph" w:customStyle="1" w:styleId="EditorsNote">
    <w:name w:val="Editor's Note"/>
    <w:basedOn w:val="Normal"/>
    <w:rsid w:val="000131AB"/>
    <w:pPr>
      <w:keepLines/>
      <w:spacing w:after="180"/>
      <w:ind w:left="1135" w:hanging="851"/>
      <w:jc w:val="left"/>
    </w:pPr>
    <w:rPr>
      <w:color w:val="FF0000"/>
      <w:lang w:eastAsia="en-US"/>
    </w:rPr>
  </w:style>
  <w:style w:type="paragraph" w:styleId="ListBullet4">
    <w:name w:val="List Bullet 4"/>
    <w:basedOn w:val="ListBullet3"/>
    <w:rsid w:val="000131AB"/>
    <w:pPr>
      <w:numPr>
        <w:numId w:val="8"/>
      </w:numPr>
    </w:pPr>
  </w:style>
  <w:style w:type="paragraph" w:styleId="ListBullet5">
    <w:name w:val="List Bullet 5"/>
    <w:basedOn w:val="ListBullet4"/>
    <w:rsid w:val="000131AB"/>
    <w:pPr>
      <w:numPr>
        <w:numId w:val="4"/>
      </w:numPr>
    </w:pPr>
  </w:style>
  <w:style w:type="paragraph" w:styleId="Footer">
    <w:name w:val="footer"/>
    <w:basedOn w:val="Header"/>
    <w:semiHidden/>
    <w:rsid w:val="000131AB"/>
    <w:pPr>
      <w:jc w:val="center"/>
    </w:pPr>
    <w:rPr>
      <w:i/>
      <w:iCs/>
    </w:rPr>
  </w:style>
  <w:style w:type="paragraph" w:customStyle="1" w:styleId="Reference">
    <w:name w:val="Reference"/>
    <w:basedOn w:val="Normal"/>
    <w:link w:val="ReferenceChar"/>
    <w:rsid w:val="000131AB"/>
    <w:pPr>
      <w:numPr>
        <w:numId w:val="2"/>
      </w:numPr>
    </w:pPr>
  </w:style>
  <w:style w:type="paragraph" w:styleId="BalloonText">
    <w:name w:val="Balloon Text"/>
    <w:basedOn w:val="Normal"/>
    <w:semiHidden/>
    <w:rsid w:val="000131AB"/>
    <w:rPr>
      <w:rFonts w:ascii="Tahoma" w:hAnsi="Tahoma" w:cs="Tahoma"/>
      <w:sz w:val="16"/>
      <w:szCs w:val="16"/>
    </w:rPr>
  </w:style>
  <w:style w:type="character" w:styleId="PageNumber">
    <w:name w:val="page number"/>
    <w:basedOn w:val="DefaultParagraphFont"/>
    <w:semiHidden/>
    <w:rsid w:val="000131AB"/>
  </w:style>
  <w:style w:type="paragraph" w:styleId="BodyText">
    <w:name w:val="Body Text"/>
    <w:basedOn w:val="Normal"/>
    <w:link w:val="BodyTextChar"/>
    <w:rsid w:val="000131AB"/>
  </w:style>
  <w:style w:type="character" w:styleId="Hyperlink">
    <w:name w:val="Hyperlink"/>
    <w:uiPriority w:val="99"/>
    <w:rsid w:val="000131AB"/>
    <w:rPr>
      <w:color w:val="0000FF"/>
      <w:u w:val="single"/>
      <w:lang w:val="en-GB"/>
    </w:rPr>
  </w:style>
  <w:style w:type="character" w:styleId="FollowedHyperlink">
    <w:name w:val="FollowedHyperlink"/>
    <w:semiHidden/>
    <w:rsid w:val="000131AB"/>
    <w:rPr>
      <w:color w:val="FF0000"/>
      <w:u w:val="single"/>
    </w:rPr>
  </w:style>
  <w:style w:type="character" w:styleId="CommentReference">
    <w:name w:val="annotation reference"/>
    <w:semiHidden/>
    <w:rsid w:val="000131AB"/>
    <w:rPr>
      <w:sz w:val="16"/>
      <w:szCs w:val="16"/>
    </w:rPr>
  </w:style>
  <w:style w:type="paragraph" w:styleId="CommentText">
    <w:name w:val="annotation text"/>
    <w:basedOn w:val="Normal"/>
    <w:link w:val="CommentTextChar"/>
    <w:rsid w:val="000131AB"/>
  </w:style>
  <w:style w:type="paragraph" w:styleId="CommentSubject">
    <w:name w:val="annotation subject"/>
    <w:basedOn w:val="CommentText"/>
    <w:next w:val="CommentText"/>
    <w:semiHidden/>
    <w:rsid w:val="000131A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131AB"/>
    <w:rPr>
      <w:rFonts w:ascii="Arial" w:hAnsi="Arial" w:cs="Arial"/>
      <w:sz w:val="36"/>
      <w:szCs w:val="36"/>
      <w:lang w:eastAsia="zh-CN"/>
    </w:rPr>
  </w:style>
  <w:style w:type="paragraph" w:customStyle="1" w:styleId="B1">
    <w:name w:val="B1"/>
    <w:basedOn w:val="List"/>
    <w:link w:val="B1Zchn"/>
    <w:rsid w:val="000131AB"/>
    <w:pPr>
      <w:spacing w:after="180"/>
      <w:jc w:val="left"/>
    </w:pPr>
    <w:rPr>
      <w:lang w:eastAsia="en-US"/>
    </w:rPr>
  </w:style>
  <w:style w:type="paragraph" w:customStyle="1" w:styleId="B2">
    <w:name w:val="B2"/>
    <w:basedOn w:val="List2"/>
    <w:link w:val="B2Char"/>
    <w:rsid w:val="000131AB"/>
    <w:pPr>
      <w:spacing w:after="180"/>
      <w:jc w:val="left"/>
    </w:pPr>
    <w:rPr>
      <w:lang w:eastAsia="en-US"/>
    </w:rPr>
  </w:style>
  <w:style w:type="paragraph" w:customStyle="1" w:styleId="B3">
    <w:name w:val="B3"/>
    <w:basedOn w:val="List3"/>
    <w:link w:val="B3Char2"/>
    <w:rsid w:val="000131AB"/>
    <w:pPr>
      <w:spacing w:after="180"/>
      <w:jc w:val="left"/>
    </w:pPr>
    <w:rPr>
      <w:lang w:eastAsia="en-US"/>
    </w:rPr>
  </w:style>
  <w:style w:type="paragraph" w:customStyle="1" w:styleId="B4">
    <w:name w:val="B4"/>
    <w:basedOn w:val="List4"/>
    <w:rsid w:val="000131AB"/>
    <w:pPr>
      <w:spacing w:after="180"/>
      <w:jc w:val="left"/>
    </w:pPr>
    <w:rPr>
      <w:lang w:eastAsia="en-US"/>
    </w:rPr>
  </w:style>
  <w:style w:type="paragraph" w:customStyle="1" w:styleId="Proposal">
    <w:name w:val="Proposal"/>
    <w:basedOn w:val="Normal"/>
    <w:rsid w:val="000131AB"/>
    <w:pPr>
      <w:numPr>
        <w:numId w:val="3"/>
      </w:numPr>
      <w:tabs>
        <w:tab w:val="clear" w:pos="1304"/>
        <w:tab w:val="left" w:pos="1701"/>
      </w:tabs>
      <w:ind w:left="1701" w:hanging="1701"/>
    </w:pPr>
    <w:rPr>
      <w:b/>
      <w:bCs/>
    </w:rPr>
  </w:style>
  <w:style w:type="character" w:customStyle="1" w:styleId="BodyTextChar">
    <w:name w:val="Body Text Char"/>
    <w:link w:val="BodyText"/>
    <w:rsid w:val="000131AB"/>
    <w:rPr>
      <w:rFonts w:ascii="Arial" w:hAnsi="Arial"/>
      <w:lang w:eastAsia="zh-CN"/>
    </w:rPr>
  </w:style>
  <w:style w:type="paragraph" w:customStyle="1" w:styleId="B5">
    <w:name w:val="B5"/>
    <w:basedOn w:val="List5"/>
    <w:rsid w:val="000131AB"/>
    <w:pPr>
      <w:spacing w:after="180"/>
      <w:jc w:val="left"/>
    </w:pPr>
    <w:rPr>
      <w:lang w:eastAsia="en-US"/>
    </w:rPr>
  </w:style>
  <w:style w:type="paragraph" w:customStyle="1" w:styleId="EX">
    <w:name w:val="EX"/>
    <w:basedOn w:val="Normal"/>
    <w:rsid w:val="000131AB"/>
    <w:pPr>
      <w:keepLines/>
      <w:spacing w:after="180"/>
      <w:ind w:left="1702" w:hanging="1418"/>
      <w:jc w:val="left"/>
    </w:pPr>
    <w:rPr>
      <w:lang w:eastAsia="en-US"/>
    </w:rPr>
  </w:style>
  <w:style w:type="paragraph" w:customStyle="1" w:styleId="EW">
    <w:name w:val="EW"/>
    <w:basedOn w:val="EX"/>
    <w:rsid w:val="000131AB"/>
    <w:pPr>
      <w:spacing w:after="0"/>
    </w:pPr>
  </w:style>
  <w:style w:type="paragraph" w:customStyle="1" w:styleId="TAL">
    <w:name w:val="TAL"/>
    <w:basedOn w:val="Normal"/>
    <w:rsid w:val="000131AB"/>
    <w:pPr>
      <w:keepNext/>
      <w:keepLines/>
      <w:spacing w:after="0"/>
      <w:jc w:val="left"/>
    </w:pPr>
    <w:rPr>
      <w:sz w:val="18"/>
      <w:lang w:eastAsia="en-US"/>
    </w:rPr>
  </w:style>
  <w:style w:type="paragraph" w:customStyle="1" w:styleId="TAC">
    <w:name w:val="TAC"/>
    <w:basedOn w:val="TAL"/>
    <w:rsid w:val="000131AB"/>
    <w:pPr>
      <w:jc w:val="center"/>
    </w:pPr>
  </w:style>
  <w:style w:type="paragraph" w:customStyle="1" w:styleId="TAH">
    <w:name w:val="TAH"/>
    <w:basedOn w:val="TAC"/>
    <w:rsid w:val="000131AB"/>
    <w:rPr>
      <w:b/>
    </w:rPr>
  </w:style>
  <w:style w:type="paragraph" w:customStyle="1" w:styleId="TAN">
    <w:name w:val="TAN"/>
    <w:basedOn w:val="TAL"/>
    <w:rsid w:val="000131AB"/>
    <w:pPr>
      <w:ind w:left="851" w:hanging="851"/>
    </w:pPr>
  </w:style>
  <w:style w:type="paragraph" w:customStyle="1" w:styleId="TAR">
    <w:name w:val="TAR"/>
    <w:basedOn w:val="TAL"/>
    <w:rsid w:val="000131AB"/>
    <w:pPr>
      <w:jc w:val="right"/>
    </w:pPr>
  </w:style>
  <w:style w:type="paragraph" w:customStyle="1" w:styleId="TH">
    <w:name w:val="TH"/>
    <w:basedOn w:val="Normal"/>
    <w:link w:val="THChar"/>
    <w:rsid w:val="000131AB"/>
    <w:pPr>
      <w:keepNext/>
      <w:keepLines/>
      <w:spacing w:before="60" w:after="180"/>
      <w:jc w:val="center"/>
    </w:pPr>
    <w:rPr>
      <w:b/>
      <w:lang w:eastAsia="en-US"/>
    </w:rPr>
  </w:style>
  <w:style w:type="paragraph" w:customStyle="1" w:styleId="TF">
    <w:name w:val="TF"/>
    <w:aliases w:val="left"/>
    <w:basedOn w:val="TH"/>
    <w:link w:val="TFChar"/>
    <w:rsid w:val="000131AB"/>
    <w:pPr>
      <w:keepNext w:val="0"/>
      <w:spacing w:before="0" w:after="240"/>
    </w:pPr>
  </w:style>
  <w:style w:type="paragraph" w:customStyle="1" w:styleId="TT">
    <w:name w:val="TT"/>
    <w:basedOn w:val="Heading1"/>
    <w:next w:val="Normal"/>
    <w:rsid w:val="000131AB"/>
    <w:pPr>
      <w:numPr>
        <w:numId w:val="0"/>
      </w:numPr>
      <w:ind w:left="1134" w:hanging="1134"/>
      <w:outlineLvl w:val="9"/>
    </w:pPr>
    <w:rPr>
      <w:rFonts w:cs="Times New Roman"/>
      <w:szCs w:val="20"/>
      <w:lang w:eastAsia="en-US"/>
    </w:rPr>
  </w:style>
  <w:style w:type="paragraph" w:customStyle="1" w:styleId="ZA">
    <w:name w:val="ZA"/>
    <w:rsid w:val="00013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13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131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131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131AB"/>
  </w:style>
  <w:style w:type="paragraph" w:customStyle="1" w:styleId="ZH">
    <w:name w:val="ZH"/>
    <w:rsid w:val="000131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131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0131AB"/>
    <w:pPr>
      <w:framePr w:hRule="auto" w:wrap="notBeside" w:y="852"/>
    </w:pPr>
    <w:rPr>
      <w:i w:val="0"/>
      <w:sz w:val="40"/>
    </w:rPr>
  </w:style>
  <w:style w:type="paragraph" w:customStyle="1" w:styleId="ZU">
    <w:name w:val="ZU"/>
    <w:rsid w:val="00013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131AB"/>
    <w:pPr>
      <w:framePr w:wrap="notBeside" w:y="16161"/>
    </w:pPr>
  </w:style>
  <w:style w:type="paragraph" w:customStyle="1" w:styleId="FP">
    <w:name w:val="FP"/>
    <w:basedOn w:val="Normal"/>
    <w:rsid w:val="000131AB"/>
    <w:pPr>
      <w:spacing w:after="0"/>
      <w:jc w:val="left"/>
    </w:pPr>
    <w:rPr>
      <w:lang w:eastAsia="en-US"/>
    </w:rPr>
  </w:style>
  <w:style w:type="paragraph" w:customStyle="1" w:styleId="Observation">
    <w:name w:val="Observation"/>
    <w:basedOn w:val="Proposal"/>
    <w:qFormat/>
    <w:rsid w:val="000131AB"/>
    <w:pPr>
      <w:numPr>
        <w:numId w:val="9"/>
      </w:numPr>
      <w:ind w:left="1701" w:hanging="1701"/>
    </w:pPr>
  </w:style>
  <w:style w:type="paragraph" w:styleId="TableofFigures">
    <w:name w:val="table of figures"/>
    <w:basedOn w:val="Normal"/>
    <w:next w:val="Normal"/>
    <w:uiPriority w:val="99"/>
    <w:rsid w:val="000131AB"/>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qFormat/>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NOChar">
    <w:name w:val="NO Char"/>
    <w:link w:val="NO"/>
    <w:locked/>
    <w:rsid w:val="006A2FF7"/>
    <w:rPr>
      <w:rFonts w:ascii="Times New Roman" w:hAnsi="Times New Roman"/>
      <w:lang w:val="x-none" w:eastAsia="x-none"/>
    </w:rPr>
  </w:style>
  <w:style w:type="paragraph" w:customStyle="1" w:styleId="NO">
    <w:name w:val="NO"/>
    <w:basedOn w:val="Normal"/>
    <w:link w:val="NOChar"/>
    <w:rsid w:val="006A2FF7"/>
    <w:pPr>
      <w:keepLines/>
      <w:spacing w:after="180"/>
      <w:ind w:left="1135" w:hanging="851"/>
      <w:jc w:val="left"/>
      <w:textAlignment w:val="auto"/>
    </w:pPr>
    <w:rPr>
      <w:rFonts w:ascii="Times New Roman" w:hAnsi="Times New Roman"/>
      <w:lang w:val="x-none" w:eastAsia="x-none"/>
    </w:rPr>
  </w:style>
  <w:style w:type="character" w:customStyle="1" w:styleId="B1Char1">
    <w:name w:val="B1 Char1"/>
    <w:qFormat/>
    <w:locked/>
    <w:rsid w:val="006A2FF7"/>
    <w:rPr>
      <w:rFonts w:ascii="Times New Roman" w:hAnsi="Times New Roman"/>
      <w:lang w:val="x-none" w:eastAsia="x-none"/>
    </w:rPr>
  </w:style>
  <w:style w:type="character" w:customStyle="1" w:styleId="B3Char2">
    <w:name w:val="B3 Char2"/>
    <w:link w:val="B3"/>
    <w:qFormat/>
    <w:rsid w:val="009077F5"/>
    <w:rPr>
      <w:rFonts w:ascii="Arial" w:hAnsi="Arial"/>
      <w:lang w:eastAsia="en-US"/>
    </w:rPr>
  </w:style>
  <w:style w:type="paragraph" w:customStyle="1" w:styleId="Note-Boxed">
    <w:name w:val="Note - Boxed"/>
    <w:basedOn w:val="Normal"/>
    <w:next w:val="Normal"/>
    <w:rsid w:val="005C38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181166615">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31265953">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044020958">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80250425">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4</Value>
      <Value>76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5NUHHDQN7SK2-1476151046-20027</_dlc_DocId>
    <_dlc_DocIdUrl xmlns="f166a696-7b5b-4ccd-9f0c-ffde0cceec81">
      <Url>https://ericsson.sharepoint.com/sites/star/_layouts/15/DocIdRedir.aspx?ID=5NUHHDQN7SK2-1476151046-20027</Url>
      <Description>5NUHHDQN7SK2-1476151046-20027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DF04-1878-4B7C-91BF-079E46C47ACC}">
  <ds:schemaRefs>
    <ds:schemaRef ds:uri="Microsoft.SharePoint.Taxonomy.ContentTypeSync"/>
  </ds:schemaRefs>
</ds:datastoreItem>
</file>

<file path=customXml/itemProps2.xml><?xml version="1.0" encoding="utf-8"?>
<ds:datastoreItem xmlns:ds="http://schemas.openxmlformats.org/officeDocument/2006/customXml" ds:itemID="{D4E8EA8C-72AE-425B-89D4-836CEC47C998}">
  <ds:schemaRefs>
    <ds:schemaRef ds:uri="http://schemas.microsoft.com/sharepoint/events"/>
  </ds:schemaRefs>
</ds:datastoreItem>
</file>

<file path=customXml/itemProps3.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4.xml><?xml version="1.0" encoding="utf-8"?>
<ds:datastoreItem xmlns:ds="http://schemas.openxmlformats.org/officeDocument/2006/customXml" ds:itemID="{9CC94661-AD4B-477A-B0F6-65431BFBD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4C4AE1-DE79-43E5-A408-E1894820DCBF}">
  <ds:schemaRef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611109f9-ed58-4498-a270-1fb2086a5321"/>
    <ds:schemaRef ds:uri="http://purl.org/dc/dcmitype/"/>
    <ds:schemaRef ds:uri="http://purl.org/dc/terms/"/>
    <ds:schemaRef ds:uri="http://schemas.microsoft.com/sharepoint/v4"/>
    <ds:schemaRef ds:uri="http://purl.org/dc/elements/1.1/"/>
    <ds:schemaRef ds:uri="f166a696-7b5b-4ccd-9f0c-ffde0cceec81"/>
    <ds:schemaRef ds:uri="d8762117-8292-4133-b1c7-eab5c6487cfd"/>
    <ds:schemaRef ds:uri="http://schemas.microsoft.com/office/2006/metadata/properties"/>
  </ds:schemaRefs>
</ds:datastoreItem>
</file>

<file path=customXml/itemProps6.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7A7EC43E-80E8-4AA0-BABD-BCD02A3F5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311</TotalTime>
  <Pages>4</Pages>
  <Words>1477</Words>
  <Characters>7621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TDoc; Ericsson; 3GPP</cp:keywords>
  <dc:description/>
  <cp:lastModifiedBy>Ericsson</cp:lastModifiedBy>
  <cp:revision>50</cp:revision>
  <cp:lastPrinted>2017-06-12T12:27:00Z</cp:lastPrinted>
  <dcterms:created xsi:type="dcterms:W3CDTF">2017-11-07T11:18:00Z</dcterms:created>
  <dcterms:modified xsi:type="dcterms:W3CDTF">2018-04-05T22:09:00Z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4;#Research|7f1f7aab-c784-40ec-8666-825d2ac7abef</vt:lpwstr>
  </property>
  <property fmtid="{D5CDD505-2E9C-101B-9397-08002B2CF9AE}" pid="4" name="EriCOLLOrganizationUnit">
    <vt:lpwstr>76;#GFTE ER WAN APMBB RN Arch. ＆ Protocols|730b5355-c838-4958-b2b0-73ccdff5e088</vt:lpwstr>
  </property>
  <property fmtid="{D5CDD505-2E9C-101B-9397-08002B2CF9AE}" pid="5" name="TaxKeyword">
    <vt:lpwstr>214;#3GPP|9a2d7407-05d0-42af-8d72-c0b9b807f3b0;#212;#TDoc|af4b50c5-3c78-4293-b1bd-3e717d5b6882;#382;#Ericsson|0582c0cb-a098-4cc5-9c3e-163dbba9cb28</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cf0d4c4b-6966-4ace-bb38-256fb016341e</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